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7223B" w14:textId="168F4AB5" w:rsidR="00F12417" w:rsidRDefault="005C298E" w:rsidP="00473115">
      <w:pPr>
        <w:pStyle w:val="Title"/>
      </w:pPr>
      <w:r>
        <w:t xml:space="preserve">Section 3: </w:t>
      </w:r>
      <w:r w:rsidR="000600BB">
        <w:t>Hydraulic Analysis</w:t>
      </w:r>
    </w:p>
    <w:p w14:paraId="0DA56B81" w14:textId="7FEC846E" w:rsidR="00962EFB" w:rsidRDefault="005C298E" w:rsidP="00962EFB">
      <w:pPr>
        <w:pStyle w:val="Heading1"/>
      </w:pPr>
      <w:r>
        <w:t>FHAD</w:t>
      </w:r>
      <w:r w:rsidR="00962EFB">
        <w:t xml:space="preserve"> Report </w:t>
      </w:r>
      <w:r>
        <w:t xml:space="preserve">Section 3 </w:t>
      </w:r>
      <w:r w:rsidR="00962EFB">
        <w:t xml:space="preserve">Narrative </w:t>
      </w:r>
    </w:p>
    <w:p w14:paraId="5E5BF352" w14:textId="7A6B825C" w:rsidR="00B931D4" w:rsidRDefault="00B931D4" w:rsidP="00F02962">
      <w:pPr>
        <w:pStyle w:val="Heading2"/>
      </w:pPr>
      <w:r>
        <w:t>Hydraulic Model Development and Results</w:t>
      </w:r>
    </w:p>
    <w:p w14:paraId="29046569" w14:textId="34617E39" w:rsidR="00B931D4" w:rsidRDefault="00B931D4" w:rsidP="00B931D4">
      <w:pPr>
        <w:pStyle w:val="Heading3"/>
      </w:pPr>
      <w:r>
        <w:t>Purpose and Conditions Modeled</w:t>
      </w:r>
    </w:p>
    <w:p w14:paraId="7B70FE7D" w14:textId="45153B57" w:rsidR="00B931D4" w:rsidRDefault="00B931D4" w:rsidP="009F1B34">
      <w:pPr>
        <w:pStyle w:val="NumberedList"/>
        <w:numPr>
          <w:ilvl w:val="0"/>
          <w:numId w:val="28"/>
        </w:numPr>
      </w:pPr>
      <w:r>
        <w:t xml:space="preserve">Describes the purpose and scope for the current hydraulic evaluation and what parameters, data, or modeling methodologies have changed since the previous study.  </w:t>
      </w:r>
      <w:r w:rsidR="00023F94">
        <w:t>Reference hydrologic evaluation used as the basis for flow rates included in the hydraulic modeling</w:t>
      </w:r>
      <w:r w:rsidR="004930FA">
        <w:t>, as well as any updates performed on the hydrology (if applicable)</w:t>
      </w:r>
      <w:r w:rsidR="00023F94">
        <w:t xml:space="preserve">. </w:t>
      </w:r>
      <w:r w:rsidR="00756F62">
        <w:t>Provide a</w:t>
      </w:r>
      <w:r>
        <w:t xml:space="preserve"> vicinity map (District Boundary map with study </w:t>
      </w:r>
      <w:r w:rsidR="00756F62">
        <w:t>area</w:t>
      </w:r>
      <w:r>
        <w:t>)</w:t>
      </w:r>
      <w:r w:rsidR="00756F62">
        <w:t xml:space="preserve"> or reference the map from Section 2</w:t>
      </w:r>
      <w:r>
        <w:t xml:space="preserve">. </w:t>
      </w:r>
    </w:p>
    <w:p w14:paraId="284B0568" w14:textId="553AC285" w:rsidR="009F1B34" w:rsidRDefault="009F1B34" w:rsidP="009F1B34">
      <w:pPr>
        <w:pStyle w:val="Heading3"/>
      </w:pPr>
      <w:r>
        <w:t>Model Development</w:t>
      </w:r>
      <w:r w:rsidR="003D2BBD">
        <w:t xml:space="preserve"> </w:t>
      </w:r>
    </w:p>
    <w:p w14:paraId="3B1C96C3" w14:textId="2105862C" w:rsidR="00D21BA7" w:rsidRDefault="009F1B34" w:rsidP="009F1B34">
      <w:pPr>
        <w:pStyle w:val="NumberedList"/>
        <w:numPr>
          <w:ilvl w:val="0"/>
          <w:numId w:val="29"/>
        </w:numPr>
      </w:pPr>
      <w:r>
        <w:t>Discuss Development of Hydraulic Modeling and any important assumptions</w:t>
      </w:r>
      <w:r w:rsidR="00D21BA7">
        <w:t xml:space="preserve"> made. Specifically:</w:t>
      </w:r>
    </w:p>
    <w:p w14:paraId="523C32F8" w14:textId="6A7C238E" w:rsidR="00D21BA7" w:rsidRDefault="00D21BA7" w:rsidP="00D21BA7">
      <w:pPr>
        <w:pStyle w:val="NumberedList"/>
        <w:numPr>
          <w:ilvl w:val="1"/>
          <w:numId w:val="29"/>
        </w:numPr>
      </w:pPr>
      <w:r>
        <w:t>Discuss development of HEC-RAS models used to delineate existing conditions floodplains.</w:t>
      </w:r>
    </w:p>
    <w:p w14:paraId="11331451" w14:textId="50572D0A" w:rsidR="009F1B34" w:rsidRDefault="00D21BA7" w:rsidP="00D21BA7">
      <w:pPr>
        <w:pStyle w:val="NumberedList"/>
        <w:numPr>
          <w:ilvl w:val="1"/>
          <w:numId w:val="29"/>
        </w:numPr>
      </w:pPr>
      <w:r>
        <w:t>A</w:t>
      </w:r>
      <w:r w:rsidR="009F1B34">
        <w:t>ny special hydraulic features such as split flows</w:t>
      </w:r>
      <w:r>
        <w:t>, diversions,</w:t>
      </w:r>
      <w:r w:rsidR="009F1B34">
        <w:t xml:space="preserve"> or significant hydraulic infrastructure that directly affects flooding or flow characteristics.</w:t>
      </w:r>
      <w:r>
        <w:t xml:space="preserve"> </w:t>
      </w:r>
    </w:p>
    <w:p w14:paraId="263CD750" w14:textId="77777777" w:rsidR="00911172" w:rsidRDefault="009F1B34" w:rsidP="00D21BA7">
      <w:pPr>
        <w:pStyle w:val="NumberedList"/>
        <w:numPr>
          <w:ilvl w:val="1"/>
          <w:numId w:val="29"/>
        </w:numPr>
      </w:pPr>
      <w:r>
        <w:t xml:space="preserve">Discuss how Manning's n-values were determined; </w:t>
      </w:r>
      <w:r w:rsidR="00911172">
        <w:t>provide one of the following as support:</w:t>
      </w:r>
    </w:p>
    <w:p w14:paraId="7373F6EB" w14:textId="3D3FE53B" w:rsidR="00911172" w:rsidRDefault="00911172" w:rsidP="00D21BA7">
      <w:pPr>
        <w:pStyle w:val="NumberedList"/>
        <w:numPr>
          <w:ilvl w:val="2"/>
          <w:numId w:val="29"/>
        </w:numPr>
      </w:pPr>
      <w:r>
        <w:t>A GIS point layer with representative photographs of the channel and estimated n-values;</w:t>
      </w:r>
    </w:p>
    <w:p w14:paraId="2027E90B" w14:textId="774CCFB7" w:rsidR="00911172" w:rsidRDefault="00911172" w:rsidP="00D21BA7">
      <w:pPr>
        <w:pStyle w:val="NumberedList"/>
        <w:numPr>
          <w:ilvl w:val="2"/>
          <w:numId w:val="29"/>
        </w:numPr>
      </w:pPr>
      <w:r>
        <w:t>A table of n-values and cross section locations with descriptions</w:t>
      </w:r>
      <w:r w:rsidR="00150922">
        <w:t xml:space="preserve"> (for enough cross sections to explain n-value development).</w:t>
      </w:r>
    </w:p>
    <w:p w14:paraId="256BCA95" w14:textId="58C994AB" w:rsidR="00911172" w:rsidRDefault="00911172" w:rsidP="00D21BA7">
      <w:pPr>
        <w:pStyle w:val="NumberedList"/>
        <w:numPr>
          <w:ilvl w:val="2"/>
          <w:numId w:val="29"/>
        </w:numPr>
      </w:pPr>
      <w:r>
        <w:t>A GIS polygon layer identifying n-values used within the hydraulic model</w:t>
      </w:r>
      <w:r w:rsidR="00150922">
        <w:t>.</w:t>
      </w:r>
    </w:p>
    <w:p w14:paraId="7293BF48" w14:textId="449D3324" w:rsidR="00150922" w:rsidRDefault="00150922" w:rsidP="004E41E3">
      <w:pPr>
        <w:pStyle w:val="Heading3"/>
      </w:pPr>
      <w:r>
        <w:t>Model Results</w:t>
      </w:r>
    </w:p>
    <w:p w14:paraId="32E511EB" w14:textId="31B179D7" w:rsidR="009F1B34" w:rsidRDefault="009F1B34" w:rsidP="004E41E3">
      <w:pPr>
        <w:pStyle w:val="NumberedList"/>
        <w:numPr>
          <w:ilvl w:val="0"/>
          <w:numId w:val="37"/>
        </w:numPr>
      </w:pPr>
      <w:r>
        <w:t xml:space="preserve">Discuss results of hydraulic model with </w:t>
      </w:r>
      <w:r w:rsidR="003D2BBD">
        <w:t xml:space="preserve">special attention to changes in hydraulic and flooding depths/extents over time, e.g., existing vs future conditions watershed conditions.  </w:t>
      </w:r>
    </w:p>
    <w:p w14:paraId="23952815" w14:textId="6005C5F6" w:rsidR="00152D71" w:rsidRDefault="003D2BBD" w:rsidP="003D2BBD">
      <w:pPr>
        <w:pStyle w:val="NumberedList"/>
      </w:pPr>
      <w:r>
        <w:t xml:space="preserve">Explain difference from previous hydraulic analyses </w:t>
      </w:r>
      <w:r w:rsidR="008F30A7">
        <w:t>regarding</w:t>
      </w:r>
      <w:r>
        <w:t xml:space="preserve"> existing facilities and floodplain delineation</w:t>
      </w:r>
      <w:r w:rsidR="00152D71">
        <w:t>.</w:t>
      </w:r>
    </w:p>
    <w:p w14:paraId="225F114D" w14:textId="541A20B1" w:rsidR="009F1B34" w:rsidRDefault="009F1B34" w:rsidP="003D2BBD">
      <w:pPr>
        <w:pStyle w:val="Heading2"/>
      </w:pPr>
      <w:r>
        <w:t>Hydraulic Risk Assessment and Problem Identification</w:t>
      </w:r>
    </w:p>
    <w:p w14:paraId="27553B46" w14:textId="19B76628" w:rsidR="003D2BBD" w:rsidRDefault="003D2BBD" w:rsidP="003D2BBD">
      <w:pPr>
        <w:pStyle w:val="Heading3"/>
      </w:pPr>
      <w:r>
        <w:t>Drainageway Crossings and Hydraulic Structures</w:t>
      </w:r>
    </w:p>
    <w:p w14:paraId="442FDB80" w14:textId="5707C616" w:rsidR="00152D71" w:rsidRDefault="003D2BBD" w:rsidP="003D2BBD">
      <w:pPr>
        <w:pStyle w:val="NumberedList"/>
        <w:numPr>
          <w:ilvl w:val="0"/>
          <w:numId w:val="30"/>
        </w:numPr>
      </w:pPr>
      <w:r w:rsidRPr="003D2BBD">
        <w:t>Discuss existing drainage facilities, providing a brief description of physical condition and estimated capacity related to future hydrology discharges</w:t>
      </w:r>
      <w:r>
        <w:t>.</w:t>
      </w:r>
    </w:p>
    <w:p w14:paraId="35D646F1" w14:textId="19553B50" w:rsidR="003D2BBD" w:rsidRDefault="00152D71" w:rsidP="00152D71">
      <w:pPr>
        <w:pStyle w:val="NumberedList"/>
        <w:numPr>
          <w:ilvl w:val="0"/>
          <w:numId w:val="30"/>
        </w:numPr>
      </w:pPr>
      <w:r>
        <w:t xml:space="preserve">Describe procedures used to evaluate capacity of existing road crossings, channels, storm sewers and </w:t>
      </w:r>
      <w:r w:rsidR="004E7423">
        <w:t>detention.</w:t>
      </w:r>
    </w:p>
    <w:p w14:paraId="45196985" w14:textId="73436844" w:rsidR="009F1B34" w:rsidRDefault="003D2BBD" w:rsidP="009F1B34">
      <w:pPr>
        <w:pStyle w:val="Heading3"/>
      </w:pPr>
      <w:r>
        <w:lastRenderedPageBreak/>
        <w:t>Flood Damage Estimates</w:t>
      </w:r>
    </w:p>
    <w:p w14:paraId="5705F318" w14:textId="272FB403" w:rsidR="00F02962" w:rsidRDefault="00F02962" w:rsidP="00152D71">
      <w:pPr>
        <w:pStyle w:val="NumberedList"/>
        <w:numPr>
          <w:ilvl w:val="0"/>
          <w:numId w:val="33"/>
        </w:numPr>
      </w:pPr>
      <w:r>
        <w:t xml:space="preserve">Discuss results of hydraulic model, including types and number of structures in the 100-yr </w:t>
      </w:r>
      <w:r w:rsidR="004E7423">
        <w:t>floodplain.</w:t>
      </w:r>
    </w:p>
    <w:p w14:paraId="1DA92A23" w14:textId="069CDC63" w:rsidR="00F02962" w:rsidRDefault="00152D71" w:rsidP="00152D71">
      <w:pPr>
        <w:pStyle w:val="NumberedList"/>
        <w:numPr>
          <w:ilvl w:val="0"/>
          <w:numId w:val="33"/>
        </w:numPr>
      </w:pPr>
      <w:r>
        <w:t>Discuss number of structures in effective floodplain and how that differs from revised floodplain.</w:t>
      </w:r>
      <w:r w:rsidR="00F02962">
        <w:tab/>
      </w:r>
    </w:p>
    <w:p w14:paraId="4ABF72BE" w14:textId="06BE2AE6" w:rsidR="00EA48F0" w:rsidRDefault="00EA48F0" w:rsidP="00152D71">
      <w:pPr>
        <w:pStyle w:val="NumberedList"/>
        <w:numPr>
          <w:ilvl w:val="0"/>
          <w:numId w:val="33"/>
        </w:numPr>
      </w:pPr>
      <w:r>
        <w:t>Summarize the damage estimates developed using the depth-damage analysis for the various flood events.</w:t>
      </w:r>
      <w:r w:rsidR="0026737B">
        <w:t xml:space="preserve"> (if scoped)</w:t>
      </w:r>
    </w:p>
    <w:p w14:paraId="7A00952B" w14:textId="77777777" w:rsidR="002B4EB6" w:rsidRDefault="002B4EB6" w:rsidP="00F3734A">
      <w:pPr>
        <w:pStyle w:val="NumberedList"/>
        <w:numPr>
          <w:ilvl w:val="0"/>
          <w:numId w:val="0"/>
        </w:numPr>
        <w:ind w:left="720" w:hanging="360"/>
      </w:pPr>
    </w:p>
    <w:p w14:paraId="6F6B421E" w14:textId="7BB38C84" w:rsidR="001702F7" w:rsidRPr="00E133E4" w:rsidRDefault="005C298E" w:rsidP="00E133E4">
      <w:pPr>
        <w:pStyle w:val="Heading1"/>
      </w:pPr>
      <w:r>
        <w:t>FHAD</w:t>
      </w:r>
      <w:r w:rsidR="001702F7" w:rsidRPr="00210EA4">
        <w:t xml:space="preserve"> Report </w:t>
      </w:r>
      <w:r>
        <w:t xml:space="preserve">Section 3 </w:t>
      </w:r>
      <w:r w:rsidR="00683CD9">
        <w:t xml:space="preserve">Technical </w:t>
      </w:r>
      <w:r w:rsidR="001702F7" w:rsidRPr="00210EA4">
        <w:t>Appendix</w:t>
      </w:r>
      <w:r w:rsidR="00210EA4" w:rsidRPr="00473115">
        <w:tab/>
      </w:r>
    </w:p>
    <w:tbl>
      <w:tblPr>
        <w:tblStyle w:val="GridTable4-Accent6"/>
        <w:tblW w:w="0" w:type="auto"/>
        <w:tblLayout w:type="fixed"/>
        <w:tblLook w:val="04A0" w:firstRow="1" w:lastRow="0" w:firstColumn="1" w:lastColumn="0" w:noHBand="0" w:noVBand="1"/>
      </w:tblPr>
      <w:tblGrid>
        <w:gridCol w:w="1165"/>
        <w:gridCol w:w="8185"/>
      </w:tblGrid>
      <w:tr w:rsidR="00210EA4" w:rsidRPr="00210EA4" w14:paraId="409999E2" w14:textId="77777777" w:rsidTr="00E133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00D46E3E" w14:textId="48FCC4F3" w:rsidR="001702F7" w:rsidRPr="00E133E4" w:rsidRDefault="00210EA4">
            <w:pPr>
              <w:jc w:val="center"/>
              <w:rPr>
                <w:color w:val="F0C81C" w:themeColor="accent4"/>
              </w:rPr>
            </w:pPr>
            <w:r w:rsidRPr="00E133E4">
              <w:rPr>
                <w:color w:val="F0C81C" w:themeColor="accent4"/>
              </w:rPr>
              <w:t>Appendix</w:t>
            </w:r>
          </w:p>
        </w:tc>
        <w:tc>
          <w:tcPr>
            <w:tcW w:w="8185" w:type="dxa"/>
          </w:tcPr>
          <w:p w14:paraId="7095DF04" w14:textId="77777777" w:rsidR="001702F7" w:rsidRPr="00E133E4" w:rsidRDefault="001702F7" w:rsidP="000442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0C81C" w:themeColor="accent4"/>
              </w:rPr>
            </w:pPr>
            <w:r w:rsidRPr="00E133E4">
              <w:rPr>
                <w:color w:val="F0C81C" w:themeColor="accent4"/>
              </w:rPr>
              <w:t>Description</w:t>
            </w:r>
          </w:p>
        </w:tc>
      </w:tr>
      <w:tr w:rsidR="00F458EC" w:rsidRPr="00210EA4" w14:paraId="382097E3" w14:textId="77777777" w:rsidTr="00E133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1B1F1B16" w14:textId="3965CEBF" w:rsidR="00F458EC" w:rsidRPr="00E133E4" w:rsidRDefault="00F458EC">
            <w:pPr>
              <w:jc w:val="center"/>
              <w:rPr>
                <w:color w:val="F0C81C" w:themeColor="accent4"/>
              </w:rPr>
            </w:pPr>
            <w:r w:rsidRPr="00EA48F0">
              <w:t>1</w:t>
            </w:r>
          </w:p>
        </w:tc>
        <w:tc>
          <w:tcPr>
            <w:tcW w:w="8185" w:type="dxa"/>
          </w:tcPr>
          <w:p w14:paraId="135ED511" w14:textId="3866AC1E" w:rsidR="00F458EC" w:rsidRPr="00F458EC" w:rsidRDefault="00F458EC" w:rsidP="000442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Section 3 Supplemental Spreadsheet</w:t>
            </w:r>
          </w:p>
        </w:tc>
      </w:tr>
      <w:tr w:rsidR="00EA48F0" w:rsidRPr="00210EA4" w14:paraId="75B95FC3" w14:textId="77777777" w:rsidTr="00E13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451D6B3A" w14:textId="6E355E0E" w:rsidR="00EA48F0" w:rsidRPr="00EA48F0" w:rsidRDefault="00F3734A" w:rsidP="00EA48F0">
            <w:pPr>
              <w:jc w:val="center"/>
            </w:pPr>
            <w:r>
              <w:t>3</w:t>
            </w:r>
          </w:p>
        </w:tc>
        <w:tc>
          <w:tcPr>
            <w:tcW w:w="8185" w:type="dxa"/>
          </w:tcPr>
          <w:p w14:paraId="14A76AD0" w14:textId="0ABE1CA0" w:rsidR="00EA48F0" w:rsidRPr="00D523FD" w:rsidRDefault="002D6191" w:rsidP="00EA48F0">
            <w:pPr>
              <w:pStyle w:val="TableStandar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C00000"/>
              </w:rPr>
            </w:pPr>
            <w:r>
              <w:t>Flood Hazard Figure</w:t>
            </w:r>
            <w:r w:rsidR="00EA48F0" w:rsidRPr="00036B40">
              <w:t xml:space="preserve"> </w:t>
            </w:r>
            <w:r w:rsidR="005B0045">
              <w:t>(pdf)</w:t>
            </w:r>
          </w:p>
        </w:tc>
      </w:tr>
      <w:tr w:rsidR="00763744" w:rsidRPr="00210EA4" w14:paraId="61D66B02" w14:textId="77777777" w:rsidTr="00E133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41F16535" w14:textId="39863A72" w:rsidR="00763744" w:rsidRDefault="00F3734A" w:rsidP="00EA48F0">
            <w:pPr>
              <w:jc w:val="center"/>
            </w:pPr>
            <w:r>
              <w:t>4</w:t>
            </w:r>
          </w:p>
        </w:tc>
        <w:tc>
          <w:tcPr>
            <w:tcW w:w="8185" w:type="dxa"/>
          </w:tcPr>
          <w:p w14:paraId="64C482AF" w14:textId="70E92ECD" w:rsidR="00763744" w:rsidRPr="00036B40" w:rsidRDefault="00763744" w:rsidP="00EA48F0">
            <w:pPr>
              <w:pStyle w:val="TableStandar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Flood </w:t>
            </w:r>
            <w:r w:rsidR="005B0045">
              <w:t>P</w:t>
            </w:r>
            <w:r>
              <w:t>rofile</w:t>
            </w:r>
            <w:r w:rsidR="00B34F72">
              <w:t>s</w:t>
            </w:r>
            <w:r w:rsidR="005B0045">
              <w:t xml:space="preserve"> (pdf)</w:t>
            </w:r>
          </w:p>
        </w:tc>
      </w:tr>
      <w:tr w:rsidR="00EA48F0" w:rsidRPr="00210EA4" w14:paraId="603E39FB" w14:textId="77777777" w:rsidTr="00E13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7F99874E" w14:textId="6FF94888" w:rsidR="00EA48F0" w:rsidRDefault="00F3734A" w:rsidP="00EA48F0">
            <w:pPr>
              <w:jc w:val="center"/>
            </w:pPr>
            <w:r>
              <w:t>5</w:t>
            </w:r>
          </w:p>
        </w:tc>
        <w:tc>
          <w:tcPr>
            <w:tcW w:w="8185" w:type="dxa"/>
          </w:tcPr>
          <w:p w14:paraId="3FE8C79A" w14:textId="5F968961" w:rsidR="00EA48F0" w:rsidRPr="00036B40" w:rsidRDefault="00EA48F0" w:rsidP="00EA48F0">
            <w:pPr>
              <w:pStyle w:val="TableStandar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Depth-damage analysis summary results</w:t>
            </w:r>
            <w:r w:rsidR="0026737B">
              <w:t xml:space="preserve"> (if scoped)</w:t>
            </w:r>
          </w:p>
        </w:tc>
      </w:tr>
    </w:tbl>
    <w:p w14:paraId="376AAE86" w14:textId="0B29C1AC" w:rsidR="00340536" w:rsidRDefault="00340536" w:rsidP="005C298E">
      <w:pPr>
        <w:pStyle w:val="Heading1"/>
        <w:rPr>
          <w:rFonts w:asciiTheme="majorHAnsi" w:hAnsiTheme="majorHAnsi"/>
          <w:color w:val="4A6296" w:themeColor="accent1" w:themeShade="BF"/>
          <w:sz w:val="26"/>
          <w:szCs w:val="26"/>
        </w:rPr>
      </w:pPr>
    </w:p>
    <w:sectPr w:rsidR="0034053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86F048" w14:textId="77777777" w:rsidR="000442F3" w:rsidRDefault="000442F3" w:rsidP="00F12417">
      <w:pPr>
        <w:spacing w:after="0" w:line="240" w:lineRule="auto"/>
      </w:pPr>
      <w:r>
        <w:separator/>
      </w:r>
    </w:p>
  </w:endnote>
  <w:endnote w:type="continuationSeparator" w:id="0">
    <w:p w14:paraId="02BF561C" w14:textId="77777777" w:rsidR="000442F3" w:rsidRDefault="000442F3" w:rsidP="00F12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-140367659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4D477AB3" w14:textId="541B5E31" w:rsidR="000442F3" w:rsidRDefault="000442F3" w:rsidP="00966CFD">
            <w:pPr>
              <w:pStyle w:val="Footer"/>
              <w:pBdr>
                <w:top w:val="single" w:sz="4" w:space="1" w:color="auto"/>
              </w:pBdr>
            </w:pPr>
            <w:r w:rsidRPr="00966CFD">
              <w:rPr>
                <w:sz w:val="20"/>
                <w:szCs w:val="20"/>
              </w:rPr>
              <w:t>MHFD Planning Guidelines | Hy</w:t>
            </w:r>
            <w:r w:rsidR="00FC6855">
              <w:rPr>
                <w:sz w:val="20"/>
                <w:szCs w:val="20"/>
              </w:rPr>
              <w:t>draulics</w:t>
            </w:r>
            <w:r w:rsidRPr="00966CFD">
              <w:rPr>
                <w:sz w:val="20"/>
                <w:szCs w:val="20"/>
              </w:rPr>
              <w:tab/>
            </w:r>
            <w:r w:rsidRPr="00966CFD">
              <w:rPr>
                <w:sz w:val="20"/>
                <w:szCs w:val="20"/>
              </w:rPr>
              <w:tab/>
              <w:t xml:space="preserve">Page </w:t>
            </w:r>
            <w:r w:rsidRPr="00966CFD">
              <w:rPr>
                <w:b/>
                <w:bCs/>
                <w:sz w:val="20"/>
                <w:szCs w:val="20"/>
              </w:rPr>
              <w:fldChar w:fldCharType="begin"/>
            </w:r>
            <w:r w:rsidRPr="00966CFD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966CFD">
              <w:rPr>
                <w:b/>
                <w:bCs/>
                <w:sz w:val="20"/>
                <w:szCs w:val="20"/>
              </w:rPr>
              <w:fldChar w:fldCharType="separate"/>
            </w:r>
            <w:r w:rsidR="008600F9">
              <w:rPr>
                <w:b/>
                <w:bCs/>
                <w:noProof/>
                <w:sz w:val="20"/>
                <w:szCs w:val="20"/>
              </w:rPr>
              <w:t>10</w:t>
            </w:r>
            <w:r w:rsidRPr="00966CFD">
              <w:rPr>
                <w:b/>
                <w:bCs/>
                <w:sz w:val="20"/>
                <w:szCs w:val="20"/>
              </w:rPr>
              <w:fldChar w:fldCharType="end"/>
            </w:r>
            <w:r w:rsidRPr="00966CFD">
              <w:rPr>
                <w:sz w:val="20"/>
                <w:szCs w:val="20"/>
              </w:rPr>
              <w:t xml:space="preserve"> of </w:t>
            </w:r>
            <w:r w:rsidRPr="00966CFD">
              <w:rPr>
                <w:b/>
                <w:bCs/>
                <w:sz w:val="20"/>
                <w:szCs w:val="20"/>
              </w:rPr>
              <w:fldChar w:fldCharType="begin"/>
            </w:r>
            <w:r w:rsidRPr="00966CFD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966CFD">
              <w:rPr>
                <w:b/>
                <w:bCs/>
                <w:sz w:val="20"/>
                <w:szCs w:val="20"/>
              </w:rPr>
              <w:fldChar w:fldCharType="separate"/>
            </w:r>
            <w:r w:rsidR="008600F9">
              <w:rPr>
                <w:b/>
                <w:bCs/>
                <w:noProof/>
                <w:sz w:val="20"/>
                <w:szCs w:val="20"/>
              </w:rPr>
              <w:t>10</w:t>
            </w:r>
            <w:r w:rsidRPr="00966CF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D5D3C8" w14:textId="77777777" w:rsidR="000442F3" w:rsidRDefault="000442F3" w:rsidP="00F12417">
      <w:pPr>
        <w:spacing w:after="0" w:line="240" w:lineRule="auto"/>
      </w:pPr>
      <w:r>
        <w:separator/>
      </w:r>
    </w:p>
  </w:footnote>
  <w:footnote w:type="continuationSeparator" w:id="0">
    <w:p w14:paraId="3A21BC30" w14:textId="77777777" w:rsidR="000442F3" w:rsidRDefault="000442F3" w:rsidP="00F12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F1786" w14:textId="3BFD6571" w:rsidR="000442F3" w:rsidRPr="00473115" w:rsidRDefault="000442F3" w:rsidP="00966CFD">
    <w:pPr>
      <w:pStyle w:val="Header"/>
      <w:rPr>
        <w:color w:val="FF0000"/>
        <w:sz w:val="16"/>
        <w:szCs w:val="16"/>
      </w:rPr>
    </w:pPr>
    <w:r>
      <w:rPr>
        <w:noProof/>
        <w:color w:val="FF0000"/>
        <w:sz w:val="16"/>
        <w:szCs w:val="16"/>
      </w:rPr>
      <w:drawing>
        <wp:inline distT="0" distB="0" distL="0" distR="0" wp14:anchorId="60B83610" wp14:editId="637E21FB">
          <wp:extent cx="996423" cy="343766"/>
          <wp:effectExtent l="0" t="0" r="0" b="0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7986" cy="354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F3537"/>
    <w:multiLevelType w:val="hybridMultilevel"/>
    <w:tmpl w:val="B3740828"/>
    <w:lvl w:ilvl="0" w:tplc="A18CFD4E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60AC4"/>
    <w:multiLevelType w:val="hybridMultilevel"/>
    <w:tmpl w:val="5D9490A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E254392"/>
    <w:multiLevelType w:val="hybridMultilevel"/>
    <w:tmpl w:val="122A5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82542"/>
    <w:multiLevelType w:val="hybridMultilevel"/>
    <w:tmpl w:val="0ECE5788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16C53"/>
    <w:multiLevelType w:val="hybridMultilevel"/>
    <w:tmpl w:val="15141166"/>
    <w:lvl w:ilvl="0" w:tplc="E2187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0627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24AE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DAC4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9E01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208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0E2F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5016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08BD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61671"/>
    <w:multiLevelType w:val="hybridMultilevel"/>
    <w:tmpl w:val="62584624"/>
    <w:lvl w:ilvl="0" w:tplc="D3528802">
      <w:start w:val="1"/>
      <w:numFmt w:val="decimal"/>
      <w:pStyle w:val="SOWBullets"/>
      <w:lvlText w:val="%1."/>
      <w:lvlJc w:val="left"/>
      <w:pPr>
        <w:ind w:left="936" w:hanging="360"/>
      </w:p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" w15:restartNumberingAfterBreak="0">
    <w:nsid w:val="202B49DF"/>
    <w:multiLevelType w:val="hybridMultilevel"/>
    <w:tmpl w:val="65D299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92EC9"/>
    <w:multiLevelType w:val="hybridMultilevel"/>
    <w:tmpl w:val="37CE5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F5EEC"/>
    <w:multiLevelType w:val="hybridMultilevel"/>
    <w:tmpl w:val="B3FA03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9D61F5"/>
    <w:multiLevelType w:val="hybridMultilevel"/>
    <w:tmpl w:val="673C0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B771F"/>
    <w:multiLevelType w:val="hybridMultilevel"/>
    <w:tmpl w:val="7430C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D8208C"/>
    <w:multiLevelType w:val="hybridMultilevel"/>
    <w:tmpl w:val="974CE5D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2555B59"/>
    <w:multiLevelType w:val="hybridMultilevel"/>
    <w:tmpl w:val="7C1E12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A6946C2"/>
    <w:multiLevelType w:val="hybridMultilevel"/>
    <w:tmpl w:val="682A9B9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AF76EBC"/>
    <w:multiLevelType w:val="hybridMultilevel"/>
    <w:tmpl w:val="E140F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2062C3"/>
    <w:multiLevelType w:val="hybridMultilevel"/>
    <w:tmpl w:val="293C2F9E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CD6806"/>
    <w:multiLevelType w:val="hybridMultilevel"/>
    <w:tmpl w:val="DF5C4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C3135A"/>
    <w:multiLevelType w:val="hybridMultilevel"/>
    <w:tmpl w:val="39A6E886"/>
    <w:lvl w:ilvl="0" w:tplc="96467D7E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635DB8"/>
    <w:multiLevelType w:val="hybridMultilevel"/>
    <w:tmpl w:val="2A984CCE"/>
    <w:lvl w:ilvl="0" w:tplc="98E06B82">
      <w:start w:val="1"/>
      <w:numFmt w:val="bullet"/>
      <w:pStyle w:val="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E06B8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3B1F6E"/>
    <w:multiLevelType w:val="hybridMultilevel"/>
    <w:tmpl w:val="4D3C6418"/>
    <w:lvl w:ilvl="0" w:tplc="96E098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12"/>
  </w:num>
  <w:num w:numId="5">
    <w:abstractNumId w:val="6"/>
  </w:num>
  <w:num w:numId="6">
    <w:abstractNumId w:val="16"/>
  </w:num>
  <w:num w:numId="7">
    <w:abstractNumId w:val="10"/>
  </w:num>
  <w:num w:numId="8">
    <w:abstractNumId w:val="14"/>
  </w:num>
  <w:num w:numId="9">
    <w:abstractNumId w:val="17"/>
  </w:num>
  <w:num w:numId="10">
    <w:abstractNumId w:val="18"/>
  </w:num>
  <w:num w:numId="11">
    <w:abstractNumId w:val="17"/>
    <w:lvlOverride w:ilvl="0">
      <w:startOverride w:val="1"/>
    </w:lvlOverride>
  </w:num>
  <w:num w:numId="12">
    <w:abstractNumId w:val="17"/>
    <w:lvlOverride w:ilvl="0">
      <w:startOverride w:val="1"/>
    </w:lvlOverride>
  </w:num>
  <w:num w:numId="13">
    <w:abstractNumId w:val="13"/>
  </w:num>
  <w:num w:numId="14">
    <w:abstractNumId w:val="11"/>
  </w:num>
  <w:num w:numId="15">
    <w:abstractNumId w:val="17"/>
    <w:lvlOverride w:ilvl="0">
      <w:startOverride w:val="1"/>
    </w:lvlOverride>
  </w:num>
  <w:num w:numId="16">
    <w:abstractNumId w:val="17"/>
  </w:num>
  <w:num w:numId="17">
    <w:abstractNumId w:val="17"/>
    <w:lvlOverride w:ilvl="0">
      <w:startOverride w:val="1"/>
    </w:lvlOverride>
  </w:num>
  <w:num w:numId="18">
    <w:abstractNumId w:val="17"/>
    <w:lvlOverride w:ilvl="0">
      <w:startOverride w:val="1"/>
    </w:lvlOverride>
  </w:num>
  <w:num w:numId="19">
    <w:abstractNumId w:val="17"/>
    <w:lvlOverride w:ilvl="0">
      <w:startOverride w:val="1"/>
    </w:lvlOverride>
  </w:num>
  <w:num w:numId="20">
    <w:abstractNumId w:val="5"/>
  </w:num>
  <w:num w:numId="21">
    <w:abstractNumId w:val="3"/>
  </w:num>
  <w:num w:numId="22">
    <w:abstractNumId w:val="15"/>
  </w:num>
  <w:num w:numId="23">
    <w:abstractNumId w:val="9"/>
  </w:num>
  <w:num w:numId="24">
    <w:abstractNumId w:val="2"/>
  </w:num>
  <w:num w:numId="25">
    <w:abstractNumId w:val="8"/>
  </w:num>
  <w:num w:numId="26">
    <w:abstractNumId w:val="17"/>
    <w:lvlOverride w:ilvl="0">
      <w:startOverride w:val="1"/>
    </w:lvlOverride>
  </w:num>
  <w:num w:numId="27">
    <w:abstractNumId w:val="17"/>
    <w:lvlOverride w:ilvl="0">
      <w:startOverride w:val="1"/>
    </w:lvlOverride>
  </w:num>
  <w:num w:numId="28">
    <w:abstractNumId w:val="17"/>
    <w:lvlOverride w:ilvl="0">
      <w:startOverride w:val="1"/>
    </w:lvlOverride>
  </w:num>
  <w:num w:numId="29">
    <w:abstractNumId w:val="17"/>
    <w:lvlOverride w:ilvl="0">
      <w:startOverride w:val="1"/>
    </w:lvlOverride>
  </w:num>
  <w:num w:numId="30">
    <w:abstractNumId w:val="17"/>
    <w:lvlOverride w:ilvl="0">
      <w:startOverride w:val="1"/>
    </w:lvlOverride>
  </w:num>
  <w:num w:numId="31">
    <w:abstractNumId w:val="17"/>
    <w:lvlOverride w:ilvl="0">
      <w:startOverride w:val="1"/>
    </w:lvlOverride>
  </w:num>
  <w:num w:numId="32">
    <w:abstractNumId w:val="7"/>
  </w:num>
  <w:num w:numId="33">
    <w:abstractNumId w:val="17"/>
    <w:lvlOverride w:ilvl="0">
      <w:startOverride w:val="1"/>
    </w:lvlOverride>
  </w:num>
  <w:num w:numId="34">
    <w:abstractNumId w:val="17"/>
  </w:num>
  <w:num w:numId="35">
    <w:abstractNumId w:val="19"/>
  </w:num>
  <w:num w:numId="36">
    <w:abstractNumId w:val="17"/>
  </w:num>
  <w:num w:numId="37">
    <w:abstractNumId w:val="1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SyNDc1NDE2sLQ0NjdW0lEKTi0uzszPAykwrAUAnkPN7iwAAAA="/>
  </w:docVars>
  <w:rsids>
    <w:rsidRoot w:val="00AA2065"/>
    <w:rsid w:val="000009CF"/>
    <w:rsid w:val="00023F94"/>
    <w:rsid w:val="000442F3"/>
    <w:rsid w:val="00057916"/>
    <w:rsid w:val="000600BB"/>
    <w:rsid w:val="000C5E5F"/>
    <w:rsid w:val="000C7212"/>
    <w:rsid w:val="00116710"/>
    <w:rsid w:val="00150922"/>
    <w:rsid w:val="00152A9B"/>
    <w:rsid w:val="00152D71"/>
    <w:rsid w:val="00163104"/>
    <w:rsid w:val="001702F7"/>
    <w:rsid w:val="001A66FF"/>
    <w:rsid w:val="001D6A8C"/>
    <w:rsid w:val="001F4C21"/>
    <w:rsid w:val="00210EA4"/>
    <w:rsid w:val="00231798"/>
    <w:rsid w:val="00252C02"/>
    <w:rsid w:val="0026737B"/>
    <w:rsid w:val="0027605C"/>
    <w:rsid w:val="002B4EB6"/>
    <w:rsid w:val="002D45FC"/>
    <w:rsid w:val="002D6191"/>
    <w:rsid w:val="002E0816"/>
    <w:rsid w:val="002F186F"/>
    <w:rsid w:val="00340536"/>
    <w:rsid w:val="00342EA7"/>
    <w:rsid w:val="00360BC4"/>
    <w:rsid w:val="003962F7"/>
    <w:rsid w:val="003B2BF0"/>
    <w:rsid w:val="003B2E41"/>
    <w:rsid w:val="003D2BBD"/>
    <w:rsid w:val="003E19F0"/>
    <w:rsid w:val="003E1F19"/>
    <w:rsid w:val="004356BE"/>
    <w:rsid w:val="00473115"/>
    <w:rsid w:val="004930FA"/>
    <w:rsid w:val="004A478D"/>
    <w:rsid w:val="004B4E0F"/>
    <w:rsid w:val="004C6B79"/>
    <w:rsid w:val="004E41E3"/>
    <w:rsid w:val="004E7423"/>
    <w:rsid w:val="0057008A"/>
    <w:rsid w:val="005A283B"/>
    <w:rsid w:val="005B0045"/>
    <w:rsid w:val="005C298E"/>
    <w:rsid w:val="006166A6"/>
    <w:rsid w:val="00632E70"/>
    <w:rsid w:val="00636CF0"/>
    <w:rsid w:val="00663A65"/>
    <w:rsid w:val="00683CD9"/>
    <w:rsid w:val="006C0DEB"/>
    <w:rsid w:val="006D10E5"/>
    <w:rsid w:val="006D76EF"/>
    <w:rsid w:val="00715CA4"/>
    <w:rsid w:val="00756F62"/>
    <w:rsid w:val="007612D3"/>
    <w:rsid w:val="00761DF5"/>
    <w:rsid w:val="00763744"/>
    <w:rsid w:val="00774765"/>
    <w:rsid w:val="00791F65"/>
    <w:rsid w:val="00825744"/>
    <w:rsid w:val="008600F9"/>
    <w:rsid w:val="008C5647"/>
    <w:rsid w:val="008F30A7"/>
    <w:rsid w:val="00911172"/>
    <w:rsid w:val="00957842"/>
    <w:rsid w:val="00962EFB"/>
    <w:rsid w:val="00966CFD"/>
    <w:rsid w:val="009D2AB6"/>
    <w:rsid w:val="009F1B34"/>
    <w:rsid w:val="009F4EC7"/>
    <w:rsid w:val="00A06793"/>
    <w:rsid w:val="00A14801"/>
    <w:rsid w:val="00A917B8"/>
    <w:rsid w:val="00AA2065"/>
    <w:rsid w:val="00AB5D9E"/>
    <w:rsid w:val="00B34F72"/>
    <w:rsid w:val="00B44084"/>
    <w:rsid w:val="00B747FC"/>
    <w:rsid w:val="00B90FD6"/>
    <w:rsid w:val="00B91AC2"/>
    <w:rsid w:val="00B931D4"/>
    <w:rsid w:val="00BA0DE3"/>
    <w:rsid w:val="00BB2149"/>
    <w:rsid w:val="00C019BE"/>
    <w:rsid w:val="00C46A37"/>
    <w:rsid w:val="00C62882"/>
    <w:rsid w:val="00C871ED"/>
    <w:rsid w:val="00CC7D7F"/>
    <w:rsid w:val="00CD435F"/>
    <w:rsid w:val="00D0031B"/>
    <w:rsid w:val="00D21BA7"/>
    <w:rsid w:val="00D51C5F"/>
    <w:rsid w:val="00D523FD"/>
    <w:rsid w:val="00D60326"/>
    <w:rsid w:val="00D6374A"/>
    <w:rsid w:val="00D935AA"/>
    <w:rsid w:val="00DD244E"/>
    <w:rsid w:val="00DD5F4A"/>
    <w:rsid w:val="00DF4ABD"/>
    <w:rsid w:val="00E0568A"/>
    <w:rsid w:val="00E133E4"/>
    <w:rsid w:val="00E26304"/>
    <w:rsid w:val="00E56095"/>
    <w:rsid w:val="00E63F95"/>
    <w:rsid w:val="00E724DD"/>
    <w:rsid w:val="00E73250"/>
    <w:rsid w:val="00E805C8"/>
    <w:rsid w:val="00EA0021"/>
    <w:rsid w:val="00EA48F0"/>
    <w:rsid w:val="00EB227E"/>
    <w:rsid w:val="00EF38EB"/>
    <w:rsid w:val="00F02962"/>
    <w:rsid w:val="00F11E53"/>
    <w:rsid w:val="00F12417"/>
    <w:rsid w:val="00F1651A"/>
    <w:rsid w:val="00F21431"/>
    <w:rsid w:val="00F26AF1"/>
    <w:rsid w:val="00F32F92"/>
    <w:rsid w:val="00F3734A"/>
    <w:rsid w:val="00F432AC"/>
    <w:rsid w:val="00F458EC"/>
    <w:rsid w:val="00F731E4"/>
    <w:rsid w:val="00F93216"/>
    <w:rsid w:val="00FB0A6E"/>
    <w:rsid w:val="00FC6855"/>
    <w:rsid w:val="00FD595A"/>
    <w:rsid w:val="017EF35C"/>
    <w:rsid w:val="27431E61"/>
    <w:rsid w:val="2A6EE570"/>
    <w:rsid w:val="2CF116DB"/>
    <w:rsid w:val="403DE6B5"/>
    <w:rsid w:val="47111B67"/>
    <w:rsid w:val="54498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79EC4535"/>
  <w15:chartTrackingRefBased/>
  <w15:docId w15:val="{0316E97C-BFCC-4DF3-A817-AA9AEE322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4DD"/>
    <w:pPr>
      <w:spacing w:before="80" w:after="8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B4E0F"/>
    <w:pPr>
      <w:keepNext/>
      <w:keepLines/>
      <w:spacing w:before="120" w:after="120"/>
      <w:outlineLvl w:val="0"/>
    </w:pPr>
    <w:rPr>
      <w:rFonts w:eastAsiaTheme="majorEastAsia" w:cstheme="majorBidi"/>
      <w:b/>
      <w:color w:val="261D9D" w:themeColor="accent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4E0F"/>
    <w:pPr>
      <w:keepNext/>
      <w:keepLines/>
      <w:spacing w:before="40" w:after="0"/>
      <w:outlineLvl w:val="1"/>
    </w:pPr>
    <w:rPr>
      <w:rFonts w:eastAsiaTheme="majorEastAsia" w:cstheme="majorBidi"/>
      <w:color w:val="36BA99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56BE"/>
    <w:pPr>
      <w:keepNext/>
      <w:keepLines/>
      <w:spacing w:before="40" w:after="0"/>
      <w:outlineLvl w:val="2"/>
    </w:pPr>
    <w:rPr>
      <w:rFonts w:eastAsiaTheme="majorEastAsia" w:cstheme="majorBidi"/>
      <w:color w:val="459FD9" w:themeColor="accent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2A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A62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523F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A62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66CFD"/>
    <w:pPr>
      <w:spacing w:before="0" w:after="240" w:line="240" w:lineRule="auto"/>
      <w:contextualSpacing/>
      <w:jc w:val="center"/>
    </w:pPr>
    <w:rPr>
      <w:rFonts w:ascii="Roboto" w:eastAsiaTheme="majorEastAsia" w:hAnsi="Roboto" w:cstheme="majorBidi"/>
      <w:b/>
      <w:color w:val="459FD9" w:themeColor="accent3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6CFD"/>
    <w:rPr>
      <w:rFonts w:ascii="Roboto" w:eastAsiaTheme="majorEastAsia" w:hAnsi="Roboto" w:cstheme="majorBidi"/>
      <w:b/>
      <w:color w:val="459FD9" w:themeColor="accent3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4B4E0F"/>
    <w:rPr>
      <w:rFonts w:eastAsiaTheme="majorEastAsia" w:cstheme="majorBidi"/>
      <w:b/>
      <w:color w:val="261D9D" w:themeColor="accent5"/>
      <w:sz w:val="32"/>
      <w:szCs w:val="32"/>
    </w:rPr>
  </w:style>
  <w:style w:type="table" w:styleId="TableGrid">
    <w:name w:val="Table Grid"/>
    <w:basedOn w:val="TableNormal"/>
    <w:uiPriority w:val="39"/>
    <w:rsid w:val="006C0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5">
    <w:name w:val="Grid Table 4 Accent 5"/>
    <w:basedOn w:val="TableNormal"/>
    <w:uiPriority w:val="49"/>
    <w:rsid w:val="006C0DEB"/>
    <w:pPr>
      <w:spacing w:after="0" w:line="240" w:lineRule="auto"/>
    </w:pPr>
    <w:tblPr>
      <w:tblStyleRowBandSize w:val="1"/>
      <w:tblStyleColBandSize w:val="1"/>
      <w:tblBorders>
        <w:top w:val="single" w:sz="4" w:space="0" w:color="635AE0" w:themeColor="accent5" w:themeTint="99"/>
        <w:left w:val="single" w:sz="4" w:space="0" w:color="635AE0" w:themeColor="accent5" w:themeTint="99"/>
        <w:bottom w:val="single" w:sz="4" w:space="0" w:color="635AE0" w:themeColor="accent5" w:themeTint="99"/>
        <w:right w:val="single" w:sz="4" w:space="0" w:color="635AE0" w:themeColor="accent5" w:themeTint="99"/>
        <w:insideH w:val="single" w:sz="4" w:space="0" w:color="635AE0" w:themeColor="accent5" w:themeTint="99"/>
        <w:insideV w:val="single" w:sz="4" w:space="0" w:color="635AE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1D9D" w:themeColor="accent5"/>
          <w:left w:val="single" w:sz="4" w:space="0" w:color="261D9D" w:themeColor="accent5"/>
          <w:bottom w:val="single" w:sz="4" w:space="0" w:color="261D9D" w:themeColor="accent5"/>
          <w:right w:val="single" w:sz="4" w:space="0" w:color="261D9D" w:themeColor="accent5"/>
          <w:insideH w:val="nil"/>
          <w:insideV w:val="nil"/>
        </w:tcBorders>
        <w:shd w:val="clear" w:color="auto" w:fill="261D9D" w:themeFill="accent5"/>
      </w:tcPr>
    </w:tblStylePr>
    <w:tblStylePr w:type="lastRow">
      <w:rPr>
        <w:b/>
        <w:bCs/>
      </w:rPr>
      <w:tblPr/>
      <w:tcPr>
        <w:tcBorders>
          <w:top w:val="double" w:sz="4" w:space="0" w:color="261D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8F5" w:themeFill="accent5" w:themeFillTint="33"/>
      </w:tcPr>
    </w:tblStylePr>
    <w:tblStylePr w:type="band1Horz">
      <w:tblPr/>
      <w:tcPr>
        <w:shd w:val="clear" w:color="auto" w:fill="CBC8F5" w:themeFill="accent5" w:themeFillTint="33"/>
      </w:tcPr>
    </w:tblStylePr>
  </w:style>
  <w:style w:type="paragraph" w:styleId="ListParagraph">
    <w:name w:val="List Paragraph"/>
    <w:basedOn w:val="Normal"/>
    <w:link w:val="ListParagraphChar"/>
    <w:uiPriority w:val="34"/>
    <w:qFormat/>
    <w:rsid w:val="00BA0DE3"/>
    <w:pPr>
      <w:spacing w:after="120" w:line="264" w:lineRule="auto"/>
      <w:ind w:left="720"/>
      <w:contextualSpacing/>
    </w:pPr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B4E0F"/>
    <w:rPr>
      <w:rFonts w:eastAsiaTheme="majorEastAsia" w:cstheme="majorBidi"/>
      <w:color w:val="36BA99" w:themeColor="accent2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F12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2417"/>
  </w:style>
  <w:style w:type="paragraph" w:styleId="Footer">
    <w:name w:val="footer"/>
    <w:basedOn w:val="Normal"/>
    <w:link w:val="FooterChar"/>
    <w:uiPriority w:val="99"/>
    <w:unhideWhenUsed/>
    <w:rsid w:val="00F12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2417"/>
  </w:style>
  <w:style w:type="character" w:styleId="CommentReference">
    <w:name w:val="annotation reference"/>
    <w:basedOn w:val="DefaultParagraphFont"/>
    <w:uiPriority w:val="99"/>
    <w:semiHidden/>
    <w:unhideWhenUsed/>
    <w:rsid w:val="00F124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24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24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4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24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41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4B4E0F"/>
    <w:pPr>
      <w:spacing w:before="60" w:after="60" w:line="240" w:lineRule="auto"/>
    </w:pPr>
    <w:rPr>
      <w:b/>
    </w:rPr>
  </w:style>
  <w:style w:type="paragraph" w:customStyle="1" w:styleId="BulletPoints">
    <w:name w:val="Bullet Points"/>
    <w:basedOn w:val="ListParagraph"/>
    <w:link w:val="BulletPointsChar"/>
    <w:qFormat/>
    <w:rsid w:val="00E724DD"/>
    <w:pPr>
      <w:numPr>
        <w:numId w:val="10"/>
      </w:numPr>
      <w:spacing w:line="288" w:lineRule="auto"/>
    </w:pPr>
    <w:rPr>
      <w:sz w:val="22"/>
    </w:rPr>
  </w:style>
  <w:style w:type="paragraph" w:customStyle="1" w:styleId="NumberedList">
    <w:name w:val="Numbered List"/>
    <w:basedOn w:val="ListParagraph"/>
    <w:link w:val="NumberedListChar"/>
    <w:qFormat/>
    <w:rsid w:val="00966CFD"/>
    <w:pPr>
      <w:numPr>
        <w:numId w:val="9"/>
      </w:numPr>
      <w:spacing w:after="80" w:line="288" w:lineRule="auto"/>
    </w:pPr>
    <w:rPr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724DD"/>
    <w:rPr>
      <w:sz w:val="20"/>
      <w:szCs w:val="20"/>
    </w:rPr>
  </w:style>
  <w:style w:type="character" w:customStyle="1" w:styleId="BulletPointsChar">
    <w:name w:val="Bullet Points Char"/>
    <w:basedOn w:val="ListParagraphChar"/>
    <w:link w:val="BulletPoints"/>
    <w:rsid w:val="00E724DD"/>
    <w:rPr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356BE"/>
    <w:rPr>
      <w:rFonts w:eastAsiaTheme="majorEastAsia" w:cstheme="majorBidi"/>
      <w:color w:val="459FD9" w:themeColor="accent3"/>
      <w:sz w:val="24"/>
      <w:szCs w:val="24"/>
    </w:rPr>
  </w:style>
  <w:style w:type="character" w:customStyle="1" w:styleId="NumberedListChar">
    <w:name w:val="Numbered List Char"/>
    <w:basedOn w:val="ListParagraphChar"/>
    <w:link w:val="NumberedList"/>
    <w:rsid w:val="00966CFD"/>
    <w:rPr>
      <w:sz w:val="20"/>
      <w:szCs w:val="20"/>
    </w:rPr>
  </w:style>
  <w:style w:type="table" w:styleId="GridTable4-Accent6">
    <w:name w:val="Grid Table 4 Accent 6"/>
    <w:basedOn w:val="TableNormal"/>
    <w:uiPriority w:val="49"/>
    <w:rsid w:val="004356BE"/>
    <w:pPr>
      <w:spacing w:after="0" w:line="240" w:lineRule="auto"/>
    </w:pPr>
    <w:tblPr>
      <w:tblStyleRowBandSize w:val="1"/>
      <w:tblStyleColBandSize w:val="1"/>
      <w:tblBorders>
        <w:top w:val="single" w:sz="4" w:space="0" w:color="40A7AC" w:themeColor="accent6" w:themeTint="99"/>
        <w:left w:val="single" w:sz="4" w:space="0" w:color="40A7AC" w:themeColor="accent6" w:themeTint="99"/>
        <w:bottom w:val="single" w:sz="4" w:space="0" w:color="40A7AC" w:themeColor="accent6" w:themeTint="99"/>
        <w:right w:val="single" w:sz="4" w:space="0" w:color="40A7AC" w:themeColor="accent6" w:themeTint="99"/>
        <w:insideH w:val="single" w:sz="4" w:space="0" w:color="40A7AC" w:themeColor="accent6" w:themeTint="99"/>
        <w:insideV w:val="single" w:sz="4" w:space="0" w:color="40A7A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2728" w:themeColor="accent6"/>
          <w:left w:val="single" w:sz="4" w:space="0" w:color="0F2728" w:themeColor="accent6"/>
          <w:bottom w:val="single" w:sz="4" w:space="0" w:color="0F2728" w:themeColor="accent6"/>
          <w:right w:val="single" w:sz="4" w:space="0" w:color="0F2728" w:themeColor="accent6"/>
          <w:insideH w:val="nil"/>
          <w:insideV w:val="nil"/>
        </w:tcBorders>
        <w:shd w:val="clear" w:color="auto" w:fill="0F2728" w:themeFill="accent6"/>
      </w:tcPr>
    </w:tblStylePr>
    <w:tblStylePr w:type="lastRow">
      <w:rPr>
        <w:b/>
        <w:bCs/>
      </w:rPr>
      <w:tblPr/>
      <w:tcPr>
        <w:tcBorders>
          <w:top w:val="double" w:sz="4" w:space="0" w:color="0F272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4E6" w:themeFill="accent6" w:themeFillTint="33"/>
      </w:tcPr>
    </w:tblStylePr>
    <w:tblStylePr w:type="band1Horz">
      <w:tblPr/>
      <w:tcPr>
        <w:shd w:val="clear" w:color="auto" w:fill="BCE4E6" w:themeFill="accent6" w:themeFillTint="33"/>
      </w:tcPr>
    </w:tblStylePr>
  </w:style>
  <w:style w:type="table" w:styleId="GridTable5Dark">
    <w:name w:val="Grid Table 5 Dark"/>
    <w:basedOn w:val="TableNormal"/>
    <w:uiPriority w:val="50"/>
    <w:rsid w:val="00C46A3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CE4E6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2728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2728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F2728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F2728" w:themeFill="text1"/>
      </w:tcPr>
    </w:tblStylePr>
    <w:tblStylePr w:type="band1Vert">
      <w:tblPr/>
      <w:tcPr>
        <w:shd w:val="clear" w:color="auto" w:fill="7AC9CD" w:themeFill="text1" w:themeFillTint="66"/>
      </w:tcPr>
    </w:tblStylePr>
    <w:tblStylePr w:type="band1Horz">
      <w:tblPr/>
      <w:tcPr>
        <w:shd w:val="clear" w:color="auto" w:fill="7AC9CD" w:themeFill="text1" w:themeFillTint="66"/>
      </w:tcPr>
    </w:tblStylePr>
  </w:style>
  <w:style w:type="table" w:styleId="ListTable4-Accent6">
    <w:name w:val="List Table 4 Accent 6"/>
    <w:basedOn w:val="TableNormal"/>
    <w:uiPriority w:val="49"/>
    <w:rsid w:val="00D60326"/>
    <w:pPr>
      <w:spacing w:after="0" w:line="240" w:lineRule="auto"/>
    </w:pPr>
    <w:tblPr>
      <w:tblStyleRowBandSize w:val="1"/>
      <w:tblStyleColBandSize w:val="1"/>
      <w:tblBorders>
        <w:top w:val="single" w:sz="4" w:space="0" w:color="40A7AC" w:themeColor="accent6" w:themeTint="99"/>
        <w:left w:val="single" w:sz="4" w:space="0" w:color="40A7AC" w:themeColor="accent6" w:themeTint="99"/>
        <w:bottom w:val="single" w:sz="4" w:space="0" w:color="40A7AC" w:themeColor="accent6" w:themeTint="99"/>
        <w:right w:val="single" w:sz="4" w:space="0" w:color="40A7AC" w:themeColor="accent6" w:themeTint="99"/>
        <w:insideH w:val="single" w:sz="4" w:space="0" w:color="40A7A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2728" w:themeColor="accent6"/>
          <w:left w:val="single" w:sz="4" w:space="0" w:color="0F2728" w:themeColor="accent6"/>
          <w:bottom w:val="single" w:sz="4" w:space="0" w:color="0F2728" w:themeColor="accent6"/>
          <w:right w:val="single" w:sz="4" w:space="0" w:color="0F2728" w:themeColor="accent6"/>
          <w:insideH w:val="nil"/>
        </w:tcBorders>
        <w:shd w:val="clear" w:color="auto" w:fill="0F2728" w:themeFill="accent6"/>
      </w:tcPr>
    </w:tblStylePr>
    <w:tblStylePr w:type="lastRow">
      <w:rPr>
        <w:b/>
        <w:bCs/>
      </w:rPr>
      <w:tblPr/>
      <w:tcPr>
        <w:tcBorders>
          <w:top w:val="double" w:sz="4" w:space="0" w:color="40A7A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4E6" w:themeFill="accent6" w:themeFillTint="33"/>
      </w:tcPr>
    </w:tblStylePr>
    <w:tblStylePr w:type="band1Horz">
      <w:tblPr/>
      <w:tcPr>
        <w:shd w:val="clear" w:color="auto" w:fill="BCE4E6" w:themeFill="accent6" w:themeFillTint="33"/>
      </w:tcPr>
    </w:tblStylePr>
  </w:style>
  <w:style w:type="paragraph" w:customStyle="1" w:styleId="TableHeading">
    <w:name w:val="Table Heading"/>
    <w:basedOn w:val="BulletPoints"/>
    <w:link w:val="TableHeadingChar"/>
    <w:qFormat/>
    <w:rsid w:val="00825744"/>
    <w:pPr>
      <w:numPr>
        <w:numId w:val="0"/>
      </w:numPr>
      <w:spacing w:before="40" w:after="40"/>
      <w:jc w:val="center"/>
    </w:pPr>
    <w:rPr>
      <w:color w:val="F0C81C" w:themeColor="accent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D2AB6"/>
    <w:rPr>
      <w:rFonts w:asciiTheme="majorHAnsi" w:eastAsiaTheme="majorEastAsia" w:hAnsiTheme="majorHAnsi" w:cstheme="majorBidi"/>
      <w:i/>
      <w:iCs/>
      <w:color w:val="4A6296" w:themeColor="accent1" w:themeShade="BF"/>
    </w:rPr>
  </w:style>
  <w:style w:type="character" w:customStyle="1" w:styleId="TableHeadingChar">
    <w:name w:val="Table Heading Char"/>
    <w:basedOn w:val="BulletPointsChar"/>
    <w:link w:val="TableHeading"/>
    <w:rsid w:val="00825744"/>
    <w:rPr>
      <w:color w:val="F0C81C" w:themeColor="accent4"/>
      <w:sz w:val="24"/>
      <w:szCs w:val="24"/>
    </w:rPr>
  </w:style>
  <w:style w:type="table" w:styleId="GridTable4">
    <w:name w:val="Grid Table 4"/>
    <w:basedOn w:val="TableNormal"/>
    <w:uiPriority w:val="49"/>
    <w:rsid w:val="00B747FC"/>
    <w:pPr>
      <w:spacing w:after="0" w:line="240" w:lineRule="auto"/>
    </w:pPr>
    <w:tblPr>
      <w:tblStyleRowBandSize w:val="1"/>
      <w:tblStyleColBandSize w:val="1"/>
      <w:tblBorders>
        <w:top w:val="single" w:sz="4" w:space="0" w:color="40A7AC" w:themeColor="text1" w:themeTint="99"/>
        <w:left w:val="single" w:sz="4" w:space="0" w:color="40A7AC" w:themeColor="text1" w:themeTint="99"/>
        <w:bottom w:val="single" w:sz="4" w:space="0" w:color="40A7AC" w:themeColor="text1" w:themeTint="99"/>
        <w:right w:val="single" w:sz="4" w:space="0" w:color="40A7AC" w:themeColor="text1" w:themeTint="99"/>
        <w:insideH w:val="single" w:sz="4" w:space="0" w:color="40A7AC" w:themeColor="text1" w:themeTint="99"/>
        <w:insideV w:val="single" w:sz="4" w:space="0" w:color="40A7AC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2728" w:themeColor="text1"/>
          <w:left w:val="single" w:sz="4" w:space="0" w:color="0F2728" w:themeColor="text1"/>
          <w:bottom w:val="single" w:sz="4" w:space="0" w:color="0F2728" w:themeColor="text1"/>
          <w:right w:val="single" w:sz="4" w:space="0" w:color="0F2728" w:themeColor="text1"/>
          <w:insideH w:val="nil"/>
          <w:insideV w:val="nil"/>
        </w:tcBorders>
        <w:shd w:val="clear" w:color="auto" w:fill="0F2728" w:themeFill="text1"/>
      </w:tcPr>
    </w:tblStylePr>
    <w:tblStylePr w:type="lastRow">
      <w:rPr>
        <w:b/>
        <w:bCs/>
      </w:rPr>
      <w:tblPr/>
      <w:tcPr>
        <w:tcBorders>
          <w:top w:val="double" w:sz="4" w:space="0" w:color="0F2728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4E6" w:themeFill="text1" w:themeFillTint="33"/>
      </w:tcPr>
    </w:tblStylePr>
    <w:tblStylePr w:type="band1Horz">
      <w:tblPr/>
      <w:tcPr>
        <w:shd w:val="clear" w:color="auto" w:fill="BCE4E6" w:themeFill="text1" w:themeFillTint="33"/>
      </w:tcPr>
    </w:tblStylePr>
  </w:style>
  <w:style w:type="paragraph" w:customStyle="1" w:styleId="SOWBullets">
    <w:name w:val="SOW Bullets"/>
    <w:basedOn w:val="NumberedList"/>
    <w:link w:val="SOWBulletsChar"/>
    <w:qFormat/>
    <w:rsid w:val="00D523FD"/>
    <w:pPr>
      <w:numPr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523FD"/>
    <w:rPr>
      <w:rFonts w:asciiTheme="majorHAnsi" w:eastAsiaTheme="majorEastAsia" w:hAnsiTheme="majorHAnsi" w:cstheme="majorBidi"/>
      <w:color w:val="4A6296" w:themeColor="accent1" w:themeShade="BF"/>
    </w:rPr>
  </w:style>
  <w:style w:type="character" w:customStyle="1" w:styleId="SOWBulletsChar">
    <w:name w:val="SOW Bullets Char"/>
    <w:basedOn w:val="NumberedListChar"/>
    <w:link w:val="SOWBullets"/>
    <w:rsid w:val="00D523FD"/>
    <w:rPr>
      <w:sz w:val="20"/>
      <w:szCs w:val="20"/>
    </w:rPr>
  </w:style>
  <w:style w:type="paragraph" w:customStyle="1" w:styleId="TableStandardText">
    <w:name w:val="Table Standard Text"/>
    <w:basedOn w:val="Normal"/>
    <w:link w:val="TableStandardTextChar"/>
    <w:qFormat/>
    <w:rsid w:val="00D523FD"/>
    <w:rPr>
      <w:sz w:val="18"/>
    </w:rPr>
  </w:style>
  <w:style w:type="character" w:customStyle="1" w:styleId="TableStandardTextChar">
    <w:name w:val="Table Standard Text Char"/>
    <w:basedOn w:val="DefaultParagraphFont"/>
    <w:link w:val="TableStandardText"/>
    <w:rsid w:val="00D523FD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MHFD">
      <a:dk1>
        <a:srgbClr val="0F2728"/>
      </a:dk1>
      <a:lt1>
        <a:srgbClr val="FFFFFF"/>
      </a:lt1>
      <a:dk2>
        <a:srgbClr val="0F2728"/>
      </a:dk2>
      <a:lt2>
        <a:srgbClr val="FFFFFF"/>
      </a:lt2>
      <a:accent1>
        <a:srgbClr val="7389BA"/>
      </a:accent1>
      <a:accent2>
        <a:srgbClr val="36BA99"/>
      </a:accent2>
      <a:accent3>
        <a:srgbClr val="459FD9"/>
      </a:accent3>
      <a:accent4>
        <a:srgbClr val="F0C81C"/>
      </a:accent4>
      <a:accent5>
        <a:srgbClr val="261D9D"/>
      </a:accent5>
      <a:accent6>
        <a:srgbClr val="0F2728"/>
      </a:accent6>
      <a:hlink>
        <a:srgbClr val="261D9D"/>
      </a:hlink>
      <a:folHlink>
        <a:srgbClr val="F0C81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5B728D33A468468512798C331C470D" ma:contentTypeVersion="4" ma:contentTypeDescription="Create a new document." ma:contentTypeScope="" ma:versionID="1cfa0980f5cad85e2adbd157446977b2">
  <xsd:schema xmlns:xsd="http://www.w3.org/2001/XMLSchema" xmlns:xs="http://www.w3.org/2001/XMLSchema" xmlns:p="http://schemas.microsoft.com/office/2006/metadata/properties" xmlns:ns2="e38bc4c9-842f-4837-b1a2-82f9fe50f4ca" targetNamespace="http://schemas.microsoft.com/office/2006/metadata/properties" ma:root="true" ma:fieldsID="2a4921945e1ae1404cb01cf88664f979" ns2:_="">
    <xsd:import namespace="e38bc4c9-842f-4837-b1a2-82f9fe50f4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bc4c9-842f-4837-b1a2-82f9fe50f4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5FF07A-4112-4D37-8FCB-B1AF8A3193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396DE8-F6BE-4F2A-9E31-C69D6E13F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8bc4c9-842f-4837-b1a2-82f9fe50f4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46AB00-61C0-4953-A4F2-71B21CA4EA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Sickles</dc:creator>
  <cp:keywords/>
  <dc:description/>
  <cp:lastModifiedBy>Mark Schutte</cp:lastModifiedBy>
  <cp:revision>13</cp:revision>
  <cp:lastPrinted>2021-02-11T22:17:00Z</cp:lastPrinted>
  <dcterms:created xsi:type="dcterms:W3CDTF">2021-07-01T17:01:00Z</dcterms:created>
  <dcterms:modified xsi:type="dcterms:W3CDTF">2021-10-06T05:17:00Z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0x0101009B5B728D33A468468512798C331C470D</vt:lpwstr>
  </property>
</Properties>
</file>