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7223B" w14:textId="6236B22B" w:rsidR="00F12417" w:rsidRDefault="00BF4350" w:rsidP="00473115">
      <w:pPr>
        <w:pStyle w:val="Title"/>
      </w:pPr>
      <w:r>
        <w:t xml:space="preserve">Section 2: </w:t>
      </w:r>
      <w:r w:rsidR="00BA0DE3" w:rsidRPr="00473115">
        <w:t>Hydrologic Analysis</w:t>
      </w:r>
    </w:p>
    <w:p w14:paraId="0DA56B81" w14:textId="0C51B2AF" w:rsidR="00962EFB" w:rsidRDefault="00BF4350" w:rsidP="005C537C">
      <w:pPr>
        <w:pStyle w:val="Heading1"/>
      </w:pPr>
      <w:r>
        <w:t>FHAD</w:t>
      </w:r>
      <w:r w:rsidR="00962EFB">
        <w:t xml:space="preserve"> Report </w:t>
      </w:r>
      <w:r w:rsidR="00013799">
        <w:t xml:space="preserve">Section 2 </w:t>
      </w:r>
      <w:r w:rsidR="00962EFB">
        <w:t xml:space="preserve">Narrative </w:t>
      </w:r>
    </w:p>
    <w:p w14:paraId="4C49CB9B" w14:textId="113943B2" w:rsidR="00C871ED" w:rsidRPr="00252C02" w:rsidRDefault="00C871ED" w:rsidP="00252C02">
      <w:pPr>
        <w:pStyle w:val="Heading2"/>
      </w:pPr>
      <w:r w:rsidRPr="00252C02">
        <w:rPr>
          <w:rStyle w:val="Heading3Char"/>
          <w:color w:val="36BA99" w:themeColor="accent2"/>
          <w:sz w:val="26"/>
          <w:szCs w:val="26"/>
        </w:rPr>
        <w:t>Background and Basis for Hydrologic Analysis</w:t>
      </w:r>
    </w:p>
    <w:p w14:paraId="19BAE577" w14:textId="77777777" w:rsidR="00BC2C0A" w:rsidRPr="00BC2C0A" w:rsidRDefault="00BC2C0A" w:rsidP="00BC2C0A">
      <w:pPr>
        <w:pStyle w:val="NumberedList"/>
        <w:ind w:left="360"/>
        <w:rPr>
          <w:szCs w:val="22"/>
        </w:rPr>
      </w:pPr>
      <w:r w:rsidRPr="00BC2C0A">
        <w:rPr>
          <w:szCs w:val="22"/>
        </w:rPr>
        <w:t xml:space="preserve">Provide a vicinity map (District Boundary map with study watershed boundary shown and labeled). </w:t>
      </w:r>
    </w:p>
    <w:p w14:paraId="7515B047" w14:textId="6F03F30E" w:rsidR="00E11CFE" w:rsidRPr="00BC2C0A" w:rsidRDefault="00C871ED" w:rsidP="00990FE3">
      <w:pPr>
        <w:pStyle w:val="NumberedList"/>
        <w:ind w:left="360"/>
      </w:pPr>
      <w:r w:rsidRPr="00BC2C0A">
        <w:t xml:space="preserve">Describe the purpose </w:t>
      </w:r>
      <w:r w:rsidR="00825744" w:rsidRPr="00BC2C0A">
        <w:t xml:space="preserve">and scope </w:t>
      </w:r>
      <w:r w:rsidRPr="00BC2C0A">
        <w:t>for the current hydrologic evaluation</w:t>
      </w:r>
      <w:r w:rsidR="004356BE" w:rsidRPr="00BC2C0A">
        <w:t xml:space="preserve"> and what parameters, data, or modeling methodologies have changed since the previous study</w:t>
      </w:r>
      <w:r w:rsidRPr="00BC2C0A">
        <w:t xml:space="preserve">.  </w:t>
      </w:r>
    </w:p>
    <w:p w14:paraId="6D587B12" w14:textId="176C23ED" w:rsidR="00E11CFE" w:rsidRDefault="00BC2C0A" w:rsidP="00BC2C0A">
      <w:pPr>
        <w:pStyle w:val="NumberedList"/>
        <w:ind w:left="360"/>
      </w:pPr>
      <w:r w:rsidRPr="00ED09E9">
        <w:t xml:space="preserve">Describe </w:t>
      </w:r>
      <w:r w:rsidR="003D2BAD">
        <w:t xml:space="preserve">the overall hydrologic model and </w:t>
      </w:r>
      <w:r w:rsidRPr="00ED09E9">
        <w:t>all calculations, references, and modeling used to develop hydrology</w:t>
      </w:r>
      <w:r>
        <w:t>.</w:t>
      </w:r>
    </w:p>
    <w:p w14:paraId="21FE3A98" w14:textId="77777777" w:rsidR="003D2BAD" w:rsidRDefault="003D2BAD" w:rsidP="003D2BAD">
      <w:pPr>
        <w:pStyle w:val="ListParagraph"/>
        <w:numPr>
          <w:ilvl w:val="1"/>
          <w:numId w:val="9"/>
        </w:numPr>
        <w:ind w:left="720"/>
        <w:rPr>
          <w:sz w:val="22"/>
          <w:szCs w:val="22"/>
        </w:rPr>
      </w:pPr>
      <w:r w:rsidRPr="00BC2C0A">
        <w:rPr>
          <w:sz w:val="22"/>
          <w:szCs w:val="22"/>
        </w:rPr>
        <w:t xml:space="preserve">Describe </w:t>
      </w:r>
      <w:r>
        <w:rPr>
          <w:sz w:val="22"/>
          <w:szCs w:val="22"/>
        </w:rPr>
        <w:t>the type of wave routing modeling used (</w:t>
      </w:r>
      <w:proofErr w:type="gramStart"/>
      <w:r>
        <w:rPr>
          <w:sz w:val="22"/>
          <w:szCs w:val="22"/>
        </w:rPr>
        <w:t>i.e.</w:t>
      </w:r>
      <w:proofErr w:type="gramEnd"/>
      <w:r>
        <w:rPr>
          <w:sz w:val="22"/>
          <w:szCs w:val="22"/>
        </w:rPr>
        <w:t xml:space="preserve"> dynamic wave, kinematic, </w:t>
      </w:r>
      <w:proofErr w:type="spellStart"/>
      <w:r>
        <w:rPr>
          <w:sz w:val="22"/>
          <w:szCs w:val="22"/>
        </w:rPr>
        <w:t>etc</w:t>
      </w:r>
      <w:proofErr w:type="spellEnd"/>
      <w:r>
        <w:rPr>
          <w:sz w:val="22"/>
          <w:szCs w:val="22"/>
        </w:rPr>
        <w:t>) and why that choice was made.</w:t>
      </w:r>
    </w:p>
    <w:p w14:paraId="311A917E" w14:textId="77777777" w:rsidR="003D2BAD" w:rsidRDefault="003D2BAD" w:rsidP="003D2BAD">
      <w:pPr>
        <w:pStyle w:val="ListParagraph"/>
        <w:numPr>
          <w:ilvl w:val="1"/>
          <w:numId w:val="9"/>
        </w:numPr>
        <w:ind w:left="720"/>
        <w:rPr>
          <w:sz w:val="22"/>
          <w:szCs w:val="22"/>
        </w:rPr>
      </w:pPr>
      <w:r>
        <w:rPr>
          <w:sz w:val="22"/>
          <w:szCs w:val="22"/>
        </w:rPr>
        <w:t>Explain key assumptions made for the model.</w:t>
      </w:r>
    </w:p>
    <w:p w14:paraId="24E20123" w14:textId="64257578" w:rsidR="00BC2C0A" w:rsidRPr="00BC2C0A" w:rsidRDefault="00BC2C0A" w:rsidP="00BC2C0A">
      <w:pPr>
        <w:pStyle w:val="NumberedList"/>
        <w:ind w:left="360"/>
      </w:pPr>
      <w:r>
        <w:t>If using a previously approved hydrology, provide the date and reference to MHFD approved hydrology and skip the following sections.</w:t>
      </w:r>
    </w:p>
    <w:p w14:paraId="76022A04" w14:textId="0AC20833" w:rsidR="009D2AB6" w:rsidRDefault="002F1D55" w:rsidP="003F5BD0">
      <w:pPr>
        <w:pStyle w:val="Heading2"/>
      </w:pPr>
      <w:r>
        <w:t>Watershed Overview Modeling Summary</w:t>
      </w:r>
    </w:p>
    <w:p w14:paraId="1C0D6660" w14:textId="14A214D0" w:rsidR="00962EFB" w:rsidRDefault="00962EFB" w:rsidP="00252C02">
      <w:pPr>
        <w:pStyle w:val="Heading3"/>
      </w:pPr>
      <w:r>
        <w:t>Stormwater Infrastructure and Major Hydraulic Features</w:t>
      </w:r>
    </w:p>
    <w:p w14:paraId="491D3655" w14:textId="6A0FD7EC" w:rsidR="00962EFB" w:rsidRDefault="00962EFB" w:rsidP="00096CD6">
      <w:pPr>
        <w:pStyle w:val="NumberedList"/>
        <w:numPr>
          <w:ilvl w:val="0"/>
          <w:numId w:val="12"/>
        </w:numPr>
        <w:ind w:left="360"/>
      </w:pPr>
      <w:r>
        <w:t>Stormwater Detention</w:t>
      </w:r>
    </w:p>
    <w:p w14:paraId="04B5CF4D" w14:textId="01E00910" w:rsidR="00962EFB" w:rsidRDefault="00E17F34" w:rsidP="00BC2C0A">
      <w:pPr>
        <w:pStyle w:val="ListParagraph"/>
        <w:numPr>
          <w:ilvl w:val="1"/>
          <w:numId w:val="9"/>
        </w:numPr>
        <w:ind w:left="720"/>
        <w:rPr>
          <w:color w:val="0F2728" w:themeColor="text1"/>
          <w:sz w:val="22"/>
          <w:szCs w:val="22"/>
        </w:rPr>
      </w:pPr>
      <w:r>
        <w:rPr>
          <w:color w:val="0F2728" w:themeColor="text1"/>
          <w:sz w:val="22"/>
          <w:szCs w:val="22"/>
        </w:rPr>
        <w:t>Briefly describe modeled regional detention facilities and reference supplemental data spreadsheet</w:t>
      </w:r>
      <w:r w:rsidR="00BC2C0A">
        <w:rPr>
          <w:color w:val="0F2728" w:themeColor="text1"/>
          <w:sz w:val="22"/>
          <w:szCs w:val="22"/>
        </w:rPr>
        <w:t>.</w:t>
      </w:r>
    </w:p>
    <w:p w14:paraId="0AC85899" w14:textId="7970739A" w:rsidR="00BC2C0A" w:rsidRPr="00E17F34" w:rsidRDefault="00BC2C0A" w:rsidP="00BC2C0A">
      <w:pPr>
        <w:pStyle w:val="ListParagraph"/>
        <w:numPr>
          <w:ilvl w:val="1"/>
          <w:numId w:val="9"/>
        </w:numPr>
        <w:ind w:left="720"/>
        <w:rPr>
          <w:color w:val="0F2728" w:themeColor="text1"/>
          <w:sz w:val="22"/>
          <w:szCs w:val="22"/>
        </w:rPr>
      </w:pPr>
      <w:r>
        <w:rPr>
          <w:color w:val="0F2728" w:themeColor="text1"/>
          <w:sz w:val="22"/>
          <w:szCs w:val="22"/>
        </w:rPr>
        <w:t>Describe modeling choices for representing storage and discharge.</w:t>
      </w:r>
    </w:p>
    <w:p w14:paraId="4DDE7206" w14:textId="77777777" w:rsidR="00962EFB" w:rsidRDefault="00962EFB" w:rsidP="00096CD6">
      <w:pPr>
        <w:pStyle w:val="NumberedList"/>
        <w:ind w:left="360"/>
      </w:pPr>
      <w:r>
        <w:t>Tran-Basin Flow (if any)</w:t>
      </w:r>
    </w:p>
    <w:p w14:paraId="69C9263A" w14:textId="3702D6E6" w:rsidR="00962EFB" w:rsidRDefault="00962EFB" w:rsidP="00096CD6">
      <w:pPr>
        <w:pStyle w:val="NumberedList"/>
        <w:numPr>
          <w:ilvl w:val="1"/>
          <w:numId w:val="9"/>
        </w:numPr>
        <w:ind w:left="720"/>
      </w:pPr>
      <w:r>
        <w:t>Describe an</w:t>
      </w:r>
      <w:r w:rsidR="001677D9">
        <w:t>y</w:t>
      </w:r>
      <w:r>
        <w:t xml:space="preserve"> </w:t>
      </w:r>
      <w:proofErr w:type="spellStart"/>
      <w:r>
        <w:t>tran</w:t>
      </w:r>
      <w:proofErr w:type="spellEnd"/>
      <w:r>
        <w:t>-basin flows (flows leaving the study basin) and how those flows have been addressed in adjacent watershed studies and their associated models.</w:t>
      </w:r>
    </w:p>
    <w:p w14:paraId="64CC7C0C" w14:textId="77777777" w:rsidR="00962EFB" w:rsidRDefault="00962EFB" w:rsidP="00096CD6">
      <w:pPr>
        <w:pStyle w:val="NumberedList"/>
        <w:ind w:left="360"/>
      </w:pPr>
      <w:r>
        <w:t>Major Split Flows/Diversions</w:t>
      </w:r>
    </w:p>
    <w:p w14:paraId="13BFD7AA" w14:textId="1726D88A" w:rsidR="00962EFB" w:rsidRDefault="00962EFB" w:rsidP="00096CD6">
      <w:pPr>
        <w:pStyle w:val="NumberedList"/>
        <w:numPr>
          <w:ilvl w:val="1"/>
          <w:numId w:val="9"/>
        </w:numPr>
        <w:ind w:left="720"/>
      </w:pPr>
      <w:r>
        <w:t xml:space="preserve">Describe any significant split flows or diversions within the basin explaining topographic features, infrastructure, or other parameters that affect the diversion.  </w:t>
      </w:r>
    </w:p>
    <w:p w14:paraId="484DEE97" w14:textId="6EBCB66D" w:rsidR="00252C02" w:rsidRPr="00473115" w:rsidRDefault="0009497E" w:rsidP="00252C02">
      <w:pPr>
        <w:pStyle w:val="Heading3"/>
        <w:rPr>
          <w:color w:val="auto"/>
          <w:sz w:val="22"/>
          <w:szCs w:val="20"/>
        </w:rPr>
      </w:pPr>
      <w:r>
        <w:t>Reconciliation</w:t>
      </w:r>
    </w:p>
    <w:p w14:paraId="30423313" w14:textId="1540309D" w:rsidR="00252C02" w:rsidRDefault="00252C02" w:rsidP="00096CD6">
      <w:pPr>
        <w:pStyle w:val="NumberedList"/>
        <w:numPr>
          <w:ilvl w:val="0"/>
          <w:numId w:val="15"/>
        </w:numPr>
        <w:ind w:left="360"/>
      </w:pPr>
      <w:r w:rsidRPr="00473115">
        <w:t>Discuss hydrologic results</w:t>
      </w:r>
      <w:r>
        <w:t xml:space="preserve"> including </w:t>
      </w:r>
      <w:r w:rsidRPr="00473115">
        <w:t>previous studies and regulatory models</w:t>
      </w:r>
      <w:r w:rsidR="005D1535">
        <w:t xml:space="preserve">. </w:t>
      </w:r>
    </w:p>
    <w:p w14:paraId="296C6396" w14:textId="58AF71DA" w:rsidR="00160E00" w:rsidRPr="00B44084" w:rsidRDefault="00252C02" w:rsidP="000A6E9C">
      <w:pPr>
        <w:pStyle w:val="NumberedList"/>
        <w:numPr>
          <w:ilvl w:val="0"/>
          <w:numId w:val="15"/>
        </w:numPr>
        <w:ind w:left="360"/>
      </w:pPr>
      <w:r w:rsidRPr="00B44084">
        <w:t>D</w:t>
      </w:r>
      <w:r w:rsidRPr="00473115">
        <w:t xml:space="preserve">escribe </w:t>
      </w:r>
      <w:r w:rsidRPr="00B44084">
        <w:t xml:space="preserve">the </w:t>
      </w:r>
      <w:r w:rsidRPr="00473115">
        <w:t>technique used to reconcile any deviations from regulatory flows to within</w:t>
      </w:r>
      <w:r w:rsidRPr="00B44084">
        <w:t xml:space="preserve"> </w:t>
      </w:r>
      <w:r w:rsidRPr="00473115">
        <w:t xml:space="preserve">10% of the </w:t>
      </w:r>
      <w:r w:rsidRPr="00B44084">
        <w:t>previous studies’ design flows</w:t>
      </w:r>
      <w:r w:rsidRPr="00473115">
        <w:t>.</w:t>
      </w:r>
    </w:p>
    <w:p w14:paraId="48BD5492" w14:textId="193552A9" w:rsidR="00252C02" w:rsidRDefault="00252C02" w:rsidP="00252C02">
      <w:pPr>
        <w:pStyle w:val="Heading3"/>
      </w:pPr>
      <w:r>
        <w:t>Results</w:t>
      </w:r>
    </w:p>
    <w:p w14:paraId="445222B4" w14:textId="6BB48736" w:rsidR="00F12417" w:rsidRDefault="00252C02" w:rsidP="00096CD6">
      <w:pPr>
        <w:pStyle w:val="NumberedList"/>
        <w:numPr>
          <w:ilvl w:val="0"/>
          <w:numId w:val="17"/>
        </w:numPr>
        <w:ind w:left="360"/>
      </w:pPr>
      <w:r w:rsidRPr="00473115">
        <w:t>Discuss hydrologic results</w:t>
      </w:r>
      <w:r>
        <w:t xml:space="preserve"> of analysis performed under this scope of work.  Include any additional explanations or narrative regarding modeling and analysis, limitations of findings, and future use of study results.</w:t>
      </w:r>
      <w:r w:rsidR="005D1535">
        <w:t xml:space="preserve"> Also include references to routing error, flooded notes, and results at regional storage facilities. </w:t>
      </w:r>
    </w:p>
    <w:p w14:paraId="4C542997" w14:textId="6B5C69CD" w:rsidR="00160E00" w:rsidRDefault="00160E00" w:rsidP="00096CD6">
      <w:pPr>
        <w:pStyle w:val="NumberedList"/>
        <w:numPr>
          <w:ilvl w:val="0"/>
          <w:numId w:val="17"/>
        </w:numPr>
        <w:ind w:left="360"/>
      </w:pPr>
      <w:r>
        <w:lastRenderedPageBreak/>
        <w:t>Provide a comparison of future and existing hydrology and state if a DFIRM (map update) is required</w:t>
      </w:r>
      <w:r w:rsidR="005D1535">
        <w:t>.</w:t>
      </w:r>
    </w:p>
    <w:p w14:paraId="4B585583" w14:textId="7296B307" w:rsidR="001677D9" w:rsidRDefault="001677D9" w:rsidP="001677D9">
      <w:pPr>
        <w:pStyle w:val="Heading3"/>
      </w:pPr>
      <w:r>
        <w:t>Hydrologic Problems (if scoped)</w:t>
      </w:r>
    </w:p>
    <w:p w14:paraId="16D56E0A" w14:textId="77777777" w:rsidR="001677D9" w:rsidRDefault="001677D9" w:rsidP="000A6E9C">
      <w:pPr>
        <w:pStyle w:val="NumberedList"/>
        <w:numPr>
          <w:ilvl w:val="0"/>
          <w:numId w:val="11"/>
        </w:numPr>
        <w:ind w:left="360"/>
      </w:pPr>
      <w:r>
        <w:t xml:space="preserve">Provide a summary of hydrologic problems identified as part of the study related to significant increases in peak flows, base flows, or runoff volumes related to future development.  </w:t>
      </w:r>
    </w:p>
    <w:p w14:paraId="6F6B421E" w14:textId="04BDE022" w:rsidR="001702F7" w:rsidRPr="00E133E4" w:rsidRDefault="002A0A78" w:rsidP="00E133E4">
      <w:pPr>
        <w:pStyle w:val="Heading1"/>
      </w:pPr>
      <w:r>
        <w:t>FHAD</w:t>
      </w:r>
      <w:r w:rsidR="001702F7" w:rsidRPr="00210EA4">
        <w:t xml:space="preserve"> Report </w:t>
      </w:r>
      <w:r w:rsidR="00013799">
        <w:t xml:space="preserve">Section 2 </w:t>
      </w:r>
      <w:r w:rsidR="00F87A07">
        <w:t xml:space="preserve">Technical </w:t>
      </w:r>
      <w:r w:rsidR="001702F7" w:rsidRPr="00210EA4">
        <w:t>Appendix</w:t>
      </w:r>
      <w:r w:rsidR="00210EA4" w:rsidRPr="00473115">
        <w:tab/>
      </w:r>
    </w:p>
    <w:tbl>
      <w:tblPr>
        <w:tblStyle w:val="Grid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8185"/>
      </w:tblGrid>
      <w:tr w:rsidR="00210EA4" w:rsidRPr="00210EA4" w14:paraId="409999E2" w14:textId="77777777" w:rsidTr="00E133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0D46E3E" w14:textId="48FCC4F3" w:rsidR="001702F7" w:rsidRPr="00E133E4" w:rsidRDefault="00210EA4">
            <w:pPr>
              <w:jc w:val="center"/>
              <w:rPr>
                <w:color w:val="F0C81C" w:themeColor="accent4"/>
              </w:rPr>
            </w:pPr>
            <w:r w:rsidRPr="00E133E4">
              <w:rPr>
                <w:color w:val="F0C81C" w:themeColor="accent4"/>
              </w:rPr>
              <w:t>Appendix</w:t>
            </w:r>
          </w:p>
        </w:tc>
        <w:tc>
          <w:tcPr>
            <w:tcW w:w="8185" w:type="dxa"/>
          </w:tcPr>
          <w:p w14:paraId="7095DF04" w14:textId="77777777" w:rsidR="001702F7" w:rsidRPr="00E133E4" w:rsidRDefault="001702F7" w:rsidP="00B86C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0C81C" w:themeColor="accent4"/>
              </w:rPr>
            </w:pPr>
            <w:r w:rsidRPr="00E133E4">
              <w:rPr>
                <w:color w:val="F0C81C" w:themeColor="accent4"/>
              </w:rPr>
              <w:t>Description</w:t>
            </w:r>
          </w:p>
        </w:tc>
      </w:tr>
      <w:tr w:rsidR="009C7620" w:rsidRPr="00210EA4" w14:paraId="59D07D4C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283E260" w14:textId="6E9E3D8A" w:rsidR="009C7620" w:rsidRPr="00E133E4" w:rsidRDefault="009C7620">
            <w:pPr>
              <w:jc w:val="center"/>
              <w:rPr>
                <w:color w:val="F0C81C" w:themeColor="accent4"/>
              </w:rPr>
            </w:pPr>
            <w:r>
              <w:t>1</w:t>
            </w:r>
          </w:p>
        </w:tc>
        <w:tc>
          <w:tcPr>
            <w:tcW w:w="8185" w:type="dxa"/>
          </w:tcPr>
          <w:p w14:paraId="78907B20" w14:textId="102A2E70" w:rsidR="009C7620" w:rsidRPr="00E133E4" w:rsidRDefault="009C7620" w:rsidP="00B86C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0C81C" w:themeColor="accent4"/>
              </w:rPr>
            </w:pPr>
            <w:r w:rsidRPr="009C7620">
              <w:rPr>
                <w:sz w:val="18"/>
              </w:rPr>
              <w:t>Section 2 Supplemental Spreadsheet</w:t>
            </w:r>
          </w:p>
        </w:tc>
      </w:tr>
      <w:tr w:rsidR="00210EA4" w:rsidRPr="00210EA4" w14:paraId="087941FC" w14:textId="77777777" w:rsidTr="00E13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B1978D1" w14:textId="2BEB662A" w:rsidR="00340536" w:rsidRPr="005C537C" w:rsidRDefault="009C7620">
            <w:pPr>
              <w:jc w:val="center"/>
            </w:pPr>
            <w:r>
              <w:t>2</w:t>
            </w:r>
          </w:p>
        </w:tc>
        <w:tc>
          <w:tcPr>
            <w:tcW w:w="8185" w:type="dxa"/>
          </w:tcPr>
          <w:p w14:paraId="1B3CD9B9" w14:textId="1C0F52D6" w:rsidR="00340536" w:rsidRPr="005C537C" w:rsidRDefault="00340536" w:rsidP="00D523FD">
            <w:pPr>
              <w:pStyle w:val="TableStandar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537C">
              <w:t>Land Uses with assigned impervious values</w:t>
            </w:r>
            <w:r w:rsidR="001677D9">
              <w:t>. This should explain how various land use zones were translated to percent impervious for future conditions.</w:t>
            </w:r>
          </w:p>
        </w:tc>
      </w:tr>
      <w:tr w:rsidR="00160E00" w:rsidRPr="00210EA4" w14:paraId="6F4ABDE1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0773519" w14:textId="2895B867" w:rsidR="00160E00" w:rsidRDefault="009C7620">
            <w:pPr>
              <w:jc w:val="center"/>
            </w:pPr>
            <w:r>
              <w:t>3</w:t>
            </w:r>
          </w:p>
        </w:tc>
        <w:tc>
          <w:tcPr>
            <w:tcW w:w="8185" w:type="dxa"/>
          </w:tcPr>
          <w:p w14:paraId="183CCB2A" w14:textId="08FC6610" w:rsidR="00160E00" w:rsidRPr="005C537C" w:rsidRDefault="00160E00" w:rsidP="00D523FD">
            <w:pPr>
              <w:pStyle w:val="TableStandar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Soils Data. Provide table summarizing infiltration values used for each soil type based on hydrologic soil group.  </w:t>
            </w:r>
          </w:p>
        </w:tc>
      </w:tr>
      <w:tr w:rsidR="00210EA4" w:rsidRPr="00210EA4" w14:paraId="31CB7D38" w14:textId="77777777" w:rsidTr="00E13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39BB080" w14:textId="5A531C34" w:rsidR="00340536" w:rsidRPr="001677D9" w:rsidRDefault="00613ACF">
            <w:pPr>
              <w:jc w:val="center"/>
            </w:pPr>
            <w:r>
              <w:t>4</w:t>
            </w:r>
          </w:p>
        </w:tc>
        <w:tc>
          <w:tcPr>
            <w:tcW w:w="8185" w:type="dxa"/>
          </w:tcPr>
          <w:p w14:paraId="66CF17A8" w14:textId="747517A9" w:rsidR="00340536" w:rsidRPr="001677D9" w:rsidRDefault="00340536" w:rsidP="00D523FD">
            <w:pPr>
              <w:pStyle w:val="TableStandar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77D9">
              <w:t>Detention Rating Curve tables showing stage-storage-discharge relationships for all detention facilities</w:t>
            </w:r>
            <w:r w:rsidR="007C1EA3">
              <w:t xml:space="preserve">. This is the raw summary data tables taken from as-built drawings or reports prior to entry into the hydrologic model. </w:t>
            </w:r>
            <w:r w:rsidRPr="001677D9">
              <w:tab/>
            </w:r>
            <w:r w:rsidRPr="001677D9">
              <w:tab/>
            </w:r>
            <w:r w:rsidRPr="001677D9">
              <w:tab/>
            </w:r>
            <w:r w:rsidRPr="001677D9">
              <w:tab/>
            </w:r>
          </w:p>
        </w:tc>
      </w:tr>
      <w:tr w:rsidR="009D4448" w:rsidRPr="00210EA4" w14:paraId="30AE6799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5E4CB3A" w14:textId="314015D1" w:rsidR="009D4448" w:rsidRPr="00210EA4" w:rsidRDefault="00613ACF" w:rsidP="009D4448">
            <w:pPr>
              <w:jc w:val="center"/>
            </w:pPr>
            <w:r>
              <w:t>5</w:t>
            </w:r>
          </w:p>
        </w:tc>
        <w:tc>
          <w:tcPr>
            <w:tcW w:w="8185" w:type="dxa"/>
          </w:tcPr>
          <w:p w14:paraId="055533BC" w14:textId="50710BB1" w:rsidR="009D4448" w:rsidRPr="00210EA4" w:rsidRDefault="009D4448" w:rsidP="009D4448">
            <w:pPr>
              <w:pStyle w:val="TableStandar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Detention facility or infrastructure as-builts</w:t>
            </w:r>
            <w:r w:rsidR="004A79A3">
              <w:t xml:space="preserve"> including any intergovernmental agreements or agreements with water storage/supply companies as appropriate.</w:t>
            </w:r>
          </w:p>
        </w:tc>
      </w:tr>
      <w:tr w:rsidR="00F77F89" w:rsidRPr="00210EA4" w14:paraId="70B3F1EB" w14:textId="77777777" w:rsidTr="00E13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83CE6C0" w14:textId="2C4A0552" w:rsidR="00F77F89" w:rsidRDefault="00613ACF">
            <w:pPr>
              <w:jc w:val="center"/>
            </w:pPr>
            <w:r>
              <w:t>6</w:t>
            </w:r>
          </w:p>
        </w:tc>
        <w:tc>
          <w:tcPr>
            <w:tcW w:w="8185" w:type="dxa"/>
          </w:tcPr>
          <w:p w14:paraId="636D3C6C" w14:textId="2716BB12" w:rsidR="00F77F89" w:rsidRDefault="00F77F89" w:rsidP="00D523FD">
            <w:pPr>
              <w:pStyle w:val="TableStandar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CUHP Table</w:t>
            </w:r>
            <w:r w:rsidR="00613ACF">
              <w:t xml:space="preserve"> and</w:t>
            </w:r>
            <w:r>
              <w:t xml:space="preserve"> SWMM Result Tabl</w:t>
            </w:r>
            <w:r w:rsidR="00613ACF">
              <w:t>e</w:t>
            </w:r>
          </w:p>
        </w:tc>
      </w:tr>
      <w:tr w:rsidR="00E56095" w:rsidRPr="00210EA4" w14:paraId="062356ED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C8DBE3A" w14:textId="51343C1C" w:rsidR="00E56095" w:rsidRPr="00210EA4" w:rsidRDefault="00613ACF">
            <w:pPr>
              <w:jc w:val="center"/>
            </w:pPr>
            <w:r>
              <w:t>7</w:t>
            </w:r>
          </w:p>
        </w:tc>
        <w:tc>
          <w:tcPr>
            <w:tcW w:w="8185" w:type="dxa"/>
          </w:tcPr>
          <w:p w14:paraId="54C78AC4" w14:textId="38D40458" w:rsidR="00E56095" w:rsidRPr="00210EA4" w:rsidRDefault="009D4448" w:rsidP="00D523FD">
            <w:pPr>
              <w:pStyle w:val="TableStandar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Other items</w:t>
            </w:r>
          </w:p>
        </w:tc>
      </w:tr>
    </w:tbl>
    <w:p w14:paraId="620D1651" w14:textId="77777777" w:rsidR="003E1F19" w:rsidRPr="00AA2065" w:rsidRDefault="003E1F19" w:rsidP="003E1F19"/>
    <w:p w14:paraId="238345E7" w14:textId="0EF86F83" w:rsidR="001D6A8C" w:rsidRDefault="001D6A8C">
      <w:pPr>
        <w:spacing w:before="0" w:after="160" w:line="259" w:lineRule="auto"/>
        <w:rPr>
          <w:rFonts w:eastAsiaTheme="majorEastAsia" w:cstheme="majorBidi"/>
          <w:b/>
          <w:color w:val="261D9D" w:themeColor="accent5"/>
          <w:sz w:val="32"/>
          <w:szCs w:val="32"/>
        </w:rPr>
      </w:pPr>
    </w:p>
    <w:sectPr w:rsidR="001D6A8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6F048" w14:textId="77777777" w:rsidR="00B86CC2" w:rsidRDefault="00B86CC2" w:rsidP="00F12417">
      <w:pPr>
        <w:spacing w:after="0" w:line="240" w:lineRule="auto"/>
      </w:pPr>
      <w:r>
        <w:separator/>
      </w:r>
    </w:p>
  </w:endnote>
  <w:endnote w:type="continuationSeparator" w:id="0">
    <w:p w14:paraId="02BF561C" w14:textId="77777777" w:rsidR="00B86CC2" w:rsidRDefault="00B86CC2" w:rsidP="00F1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4036765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4D477AB3" w14:textId="281ECE8F" w:rsidR="00B86CC2" w:rsidRDefault="00B86CC2" w:rsidP="00966CFD">
            <w:pPr>
              <w:pStyle w:val="Footer"/>
              <w:pBdr>
                <w:top w:val="single" w:sz="4" w:space="1" w:color="auto"/>
              </w:pBdr>
            </w:pPr>
            <w:r w:rsidRPr="00966CFD">
              <w:rPr>
                <w:sz w:val="20"/>
                <w:szCs w:val="20"/>
              </w:rPr>
              <w:t>MHFD Planning Guidelines | Hydrology</w:t>
            </w:r>
            <w:r w:rsidRPr="00966CFD">
              <w:rPr>
                <w:sz w:val="20"/>
                <w:szCs w:val="20"/>
              </w:rPr>
              <w:tab/>
            </w:r>
            <w:r w:rsidRPr="00966CFD">
              <w:rPr>
                <w:sz w:val="20"/>
                <w:szCs w:val="20"/>
              </w:rPr>
              <w:tab/>
              <w:t xml:space="preserve">Page </w:t>
            </w:r>
            <w:r w:rsidRPr="00966CFD">
              <w:rPr>
                <w:b/>
                <w:bCs/>
                <w:sz w:val="20"/>
                <w:szCs w:val="20"/>
              </w:rPr>
              <w:fldChar w:fldCharType="begin"/>
            </w:r>
            <w:r w:rsidRPr="00966CFD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966CFD">
              <w:rPr>
                <w:b/>
                <w:bCs/>
                <w:sz w:val="20"/>
                <w:szCs w:val="20"/>
              </w:rPr>
              <w:fldChar w:fldCharType="separate"/>
            </w:r>
            <w:r w:rsidR="005A63F3">
              <w:rPr>
                <w:b/>
                <w:bCs/>
                <w:noProof/>
                <w:sz w:val="20"/>
                <w:szCs w:val="20"/>
              </w:rPr>
              <w:t>9</w:t>
            </w:r>
            <w:r w:rsidRPr="00966CFD">
              <w:rPr>
                <w:b/>
                <w:bCs/>
                <w:sz w:val="20"/>
                <w:szCs w:val="20"/>
              </w:rPr>
              <w:fldChar w:fldCharType="end"/>
            </w:r>
            <w:r w:rsidRPr="00966CFD">
              <w:rPr>
                <w:sz w:val="20"/>
                <w:szCs w:val="20"/>
              </w:rPr>
              <w:t xml:space="preserve"> of </w:t>
            </w:r>
            <w:r w:rsidRPr="00966CFD">
              <w:rPr>
                <w:b/>
                <w:bCs/>
                <w:sz w:val="20"/>
                <w:szCs w:val="20"/>
              </w:rPr>
              <w:fldChar w:fldCharType="begin"/>
            </w:r>
            <w:r w:rsidRPr="00966CFD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966CFD">
              <w:rPr>
                <w:b/>
                <w:bCs/>
                <w:sz w:val="20"/>
                <w:szCs w:val="20"/>
              </w:rPr>
              <w:fldChar w:fldCharType="separate"/>
            </w:r>
            <w:r w:rsidR="005A63F3">
              <w:rPr>
                <w:b/>
                <w:bCs/>
                <w:noProof/>
                <w:sz w:val="20"/>
                <w:szCs w:val="20"/>
              </w:rPr>
              <w:t>9</w:t>
            </w:r>
            <w:r w:rsidRPr="00966CF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5D3C8" w14:textId="77777777" w:rsidR="00B86CC2" w:rsidRDefault="00B86CC2" w:rsidP="00F12417">
      <w:pPr>
        <w:spacing w:after="0" w:line="240" w:lineRule="auto"/>
      </w:pPr>
      <w:r>
        <w:separator/>
      </w:r>
    </w:p>
  </w:footnote>
  <w:footnote w:type="continuationSeparator" w:id="0">
    <w:p w14:paraId="3A21BC30" w14:textId="77777777" w:rsidR="00B86CC2" w:rsidRDefault="00B86CC2" w:rsidP="00F12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F1786" w14:textId="3BFD6571" w:rsidR="00B86CC2" w:rsidRPr="00473115" w:rsidRDefault="00B86CC2" w:rsidP="00966CFD">
    <w:pPr>
      <w:pStyle w:val="Header"/>
      <w:rPr>
        <w:color w:val="FF0000"/>
        <w:sz w:val="16"/>
        <w:szCs w:val="16"/>
      </w:rPr>
    </w:pPr>
    <w:r>
      <w:rPr>
        <w:noProof/>
        <w:color w:val="FF0000"/>
        <w:sz w:val="16"/>
        <w:szCs w:val="16"/>
      </w:rPr>
      <w:drawing>
        <wp:inline distT="0" distB="0" distL="0" distR="0" wp14:anchorId="60B83610" wp14:editId="637E21FB">
          <wp:extent cx="996423" cy="343766"/>
          <wp:effectExtent l="0" t="0" r="0" b="0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986" cy="354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9FE02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F3537"/>
    <w:multiLevelType w:val="hybridMultilevel"/>
    <w:tmpl w:val="A71EB932"/>
    <w:lvl w:ilvl="0" w:tplc="A18CFD4E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5C62A4E8">
      <w:numFmt w:val="bullet"/>
      <w:lvlText w:val="-"/>
      <w:lvlJc w:val="left"/>
      <w:pPr>
        <w:ind w:left="4140" w:hanging="360"/>
      </w:pPr>
      <w:rPr>
        <w:rFonts w:ascii="Calibri" w:eastAsiaTheme="minorHAnsi" w:hAnsi="Calibri" w:cs="Calibri" w:hint="default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60AC4"/>
    <w:multiLevelType w:val="hybridMultilevel"/>
    <w:tmpl w:val="5D9490A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0B82542"/>
    <w:multiLevelType w:val="hybridMultilevel"/>
    <w:tmpl w:val="0ECE578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16C53"/>
    <w:multiLevelType w:val="hybridMultilevel"/>
    <w:tmpl w:val="15141166"/>
    <w:lvl w:ilvl="0" w:tplc="E2187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62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24A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AC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9E01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20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E2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01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08B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61671"/>
    <w:multiLevelType w:val="hybridMultilevel"/>
    <w:tmpl w:val="62584624"/>
    <w:lvl w:ilvl="0" w:tplc="D3528802">
      <w:start w:val="1"/>
      <w:numFmt w:val="decimal"/>
      <w:pStyle w:val="SOWBullets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202B49DF"/>
    <w:multiLevelType w:val="hybridMultilevel"/>
    <w:tmpl w:val="65D29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B771F"/>
    <w:multiLevelType w:val="hybridMultilevel"/>
    <w:tmpl w:val="7430C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46E9D"/>
    <w:multiLevelType w:val="hybridMultilevel"/>
    <w:tmpl w:val="9BEE9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8208C"/>
    <w:multiLevelType w:val="hybridMultilevel"/>
    <w:tmpl w:val="974CE5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555B59"/>
    <w:multiLevelType w:val="hybridMultilevel"/>
    <w:tmpl w:val="7C1E12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A54406"/>
    <w:multiLevelType w:val="hybridMultilevel"/>
    <w:tmpl w:val="AD66B16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6946C2"/>
    <w:multiLevelType w:val="hybridMultilevel"/>
    <w:tmpl w:val="682A9B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AF76EBC"/>
    <w:multiLevelType w:val="hybridMultilevel"/>
    <w:tmpl w:val="E140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062C3"/>
    <w:multiLevelType w:val="hybridMultilevel"/>
    <w:tmpl w:val="293C2F9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D6806"/>
    <w:multiLevelType w:val="hybridMultilevel"/>
    <w:tmpl w:val="DF5C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135A"/>
    <w:multiLevelType w:val="hybridMultilevel"/>
    <w:tmpl w:val="ABEE5E6C"/>
    <w:lvl w:ilvl="0" w:tplc="96467D7E">
      <w:start w:val="1"/>
      <w:numFmt w:val="decimal"/>
      <w:pStyle w:val="NumberedList"/>
      <w:lvlText w:val="%1."/>
      <w:lvlJc w:val="left"/>
      <w:pPr>
        <w:ind w:left="6570" w:hanging="360"/>
      </w:pPr>
    </w:lvl>
    <w:lvl w:ilvl="1" w:tplc="C69284DE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35DB8"/>
    <w:multiLevelType w:val="hybridMultilevel"/>
    <w:tmpl w:val="9320D3E0"/>
    <w:lvl w:ilvl="0" w:tplc="98E06B8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E06B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97241"/>
    <w:multiLevelType w:val="hybridMultilevel"/>
    <w:tmpl w:val="03CCFF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15"/>
  </w:num>
  <w:num w:numId="7">
    <w:abstractNumId w:val="7"/>
  </w:num>
  <w:num w:numId="8">
    <w:abstractNumId w:val="13"/>
  </w:num>
  <w:num w:numId="9">
    <w:abstractNumId w:val="16"/>
  </w:num>
  <w:num w:numId="10">
    <w:abstractNumId w:val="17"/>
  </w:num>
  <w:num w:numId="11">
    <w:abstractNumId w:val="16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12"/>
  </w:num>
  <w:num w:numId="14">
    <w:abstractNumId w:val="9"/>
  </w:num>
  <w:num w:numId="15">
    <w:abstractNumId w:val="16"/>
    <w:lvlOverride w:ilvl="0">
      <w:startOverride w:val="1"/>
    </w:lvlOverride>
  </w:num>
  <w:num w:numId="16">
    <w:abstractNumId w:val="16"/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  <w:num w:numId="19">
    <w:abstractNumId w:val="16"/>
    <w:lvlOverride w:ilvl="0">
      <w:startOverride w:val="1"/>
    </w:lvlOverride>
  </w:num>
  <w:num w:numId="20">
    <w:abstractNumId w:val="5"/>
  </w:num>
  <w:num w:numId="21">
    <w:abstractNumId w:val="3"/>
  </w:num>
  <w:num w:numId="22">
    <w:abstractNumId w:val="14"/>
  </w:num>
  <w:num w:numId="23">
    <w:abstractNumId w:val="11"/>
  </w:num>
  <w:num w:numId="24">
    <w:abstractNumId w:val="8"/>
  </w:num>
  <w:num w:numId="25">
    <w:abstractNumId w:val="0"/>
  </w:num>
  <w:num w:numId="26">
    <w:abstractNumId w:val="17"/>
  </w:num>
  <w:num w:numId="27">
    <w:abstractNumId w:val="17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SyNDc1NDE2sLQ0NjdW0lEKTi0uzszPAykwrAUAnkPN7iwAAAA="/>
  </w:docVars>
  <w:rsids>
    <w:rsidRoot w:val="00AA2065"/>
    <w:rsid w:val="000009CF"/>
    <w:rsid w:val="00003C68"/>
    <w:rsid w:val="00013799"/>
    <w:rsid w:val="00030CDD"/>
    <w:rsid w:val="0009497E"/>
    <w:rsid w:val="00096CD6"/>
    <w:rsid w:val="000A6E9C"/>
    <w:rsid w:val="000B6F51"/>
    <w:rsid w:val="00160E00"/>
    <w:rsid w:val="00163104"/>
    <w:rsid w:val="001677D9"/>
    <w:rsid w:val="001702F7"/>
    <w:rsid w:val="001D6A8C"/>
    <w:rsid w:val="001F0A9E"/>
    <w:rsid w:val="00210EA4"/>
    <w:rsid w:val="00231798"/>
    <w:rsid w:val="00252C02"/>
    <w:rsid w:val="00267EBD"/>
    <w:rsid w:val="002747C5"/>
    <w:rsid w:val="0027605C"/>
    <w:rsid w:val="002A0A78"/>
    <w:rsid w:val="002D45FC"/>
    <w:rsid w:val="002E0816"/>
    <w:rsid w:val="002F186F"/>
    <w:rsid w:val="002F1D55"/>
    <w:rsid w:val="003366DC"/>
    <w:rsid w:val="00340536"/>
    <w:rsid w:val="00376C22"/>
    <w:rsid w:val="003949BA"/>
    <w:rsid w:val="003962F7"/>
    <w:rsid w:val="003B10AD"/>
    <w:rsid w:val="003B2BF0"/>
    <w:rsid w:val="003D2BAD"/>
    <w:rsid w:val="003E1F19"/>
    <w:rsid w:val="003F5BD0"/>
    <w:rsid w:val="0041467B"/>
    <w:rsid w:val="004356BE"/>
    <w:rsid w:val="00473115"/>
    <w:rsid w:val="004A316A"/>
    <w:rsid w:val="004A478D"/>
    <w:rsid w:val="004A79A3"/>
    <w:rsid w:val="004B4E0F"/>
    <w:rsid w:val="004C6B79"/>
    <w:rsid w:val="004D31E5"/>
    <w:rsid w:val="0057008A"/>
    <w:rsid w:val="00590A92"/>
    <w:rsid w:val="005A283B"/>
    <w:rsid w:val="005A63F3"/>
    <w:rsid w:val="005C537C"/>
    <w:rsid w:val="005D1535"/>
    <w:rsid w:val="00613ACF"/>
    <w:rsid w:val="00632E70"/>
    <w:rsid w:val="00675D4C"/>
    <w:rsid w:val="006A75FE"/>
    <w:rsid w:val="006C0DEB"/>
    <w:rsid w:val="0074532B"/>
    <w:rsid w:val="00761DF5"/>
    <w:rsid w:val="00774765"/>
    <w:rsid w:val="00791F65"/>
    <w:rsid w:val="007C1EA3"/>
    <w:rsid w:val="00825744"/>
    <w:rsid w:val="00861138"/>
    <w:rsid w:val="008D7ABE"/>
    <w:rsid w:val="00905FA9"/>
    <w:rsid w:val="00914832"/>
    <w:rsid w:val="00957842"/>
    <w:rsid w:val="00962EFB"/>
    <w:rsid w:val="00963238"/>
    <w:rsid w:val="00966CFD"/>
    <w:rsid w:val="00987248"/>
    <w:rsid w:val="00990FE3"/>
    <w:rsid w:val="009C7584"/>
    <w:rsid w:val="009C7620"/>
    <w:rsid w:val="009D2AB6"/>
    <w:rsid w:val="009D4448"/>
    <w:rsid w:val="00A06793"/>
    <w:rsid w:val="00A41012"/>
    <w:rsid w:val="00AA2065"/>
    <w:rsid w:val="00AB5D9E"/>
    <w:rsid w:val="00B44084"/>
    <w:rsid w:val="00B64F3D"/>
    <w:rsid w:val="00B747FC"/>
    <w:rsid w:val="00B86CC2"/>
    <w:rsid w:val="00B90FD6"/>
    <w:rsid w:val="00B91AC2"/>
    <w:rsid w:val="00BA0DE3"/>
    <w:rsid w:val="00BA6B4F"/>
    <w:rsid w:val="00BB2149"/>
    <w:rsid w:val="00BC2C0A"/>
    <w:rsid w:val="00BF4350"/>
    <w:rsid w:val="00C34837"/>
    <w:rsid w:val="00C46A37"/>
    <w:rsid w:val="00C62882"/>
    <w:rsid w:val="00C871ED"/>
    <w:rsid w:val="00CC7D7F"/>
    <w:rsid w:val="00CD435F"/>
    <w:rsid w:val="00CF5155"/>
    <w:rsid w:val="00D11BFA"/>
    <w:rsid w:val="00D523FD"/>
    <w:rsid w:val="00D60326"/>
    <w:rsid w:val="00D6374A"/>
    <w:rsid w:val="00D81E82"/>
    <w:rsid w:val="00DD244E"/>
    <w:rsid w:val="00DD5F4A"/>
    <w:rsid w:val="00E04066"/>
    <w:rsid w:val="00E11CFE"/>
    <w:rsid w:val="00E133DC"/>
    <w:rsid w:val="00E133E4"/>
    <w:rsid w:val="00E17F34"/>
    <w:rsid w:val="00E2597B"/>
    <w:rsid w:val="00E26304"/>
    <w:rsid w:val="00E30C4E"/>
    <w:rsid w:val="00E56095"/>
    <w:rsid w:val="00E63F95"/>
    <w:rsid w:val="00E724DD"/>
    <w:rsid w:val="00E73250"/>
    <w:rsid w:val="00E805C8"/>
    <w:rsid w:val="00E93E25"/>
    <w:rsid w:val="00EB227E"/>
    <w:rsid w:val="00EB7004"/>
    <w:rsid w:val="00ED7D50"/>
    <w:rsid w:val="00F12417"/>
    <w:rsid w:val="00F26AF1"/>
    <w:rsid w:val="00F40717"/>
    <w:rsid w:val="00F77F89"/>
    <w:rsid w:val="00F87A07"/>
    <w:rsid w:val="00F93216"/>
    <w:rsid w:val="00FB0A6E"/>
    <w:rsid w:val="00FD35FB"/>
    <w:rsid w:val="017EF35C"/>
    <w:rsid w:val="27431E61"/>
    <w:rsid w:val="2A6EE570"/>
    <w:rsid w:val="2CF116DB"/>
    <w:rsid w:val="403DE6B5"/>
    <w:rsid w:val="47111B67"/>
    <w:rsid w:val="54498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79EC4535"/>
  <w15:chartTrackingRefBased/>
  <w15:docId w15:val="{0316E97C-BFCC-4DF3-A817-AA9AEE32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4DD"/>
    <w:pPr>
      <w:spacing w:before="80" w:after="8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4E0F"/>
    <w:pPr>
      <w:keepNext/>
      <w:keepLines/>
      <w:spacing w:before="120" w:after="120"/>
      <w:outlineLvl w:val="0"/>
    </w:pPr>
    <w:rPr>
      <w:rFonts w:eastAsiaTheme="majorEastAsia" w:cstheme="majorBidi"/>
      <w:b/>
      <w:color w:val="261D9D" w:themeColor="accent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E0F"/>
    <w:pPr>
      <w:keepNext/>
      <w:keepLines/>
      <w:spacing w:before="40" w:after="0"/>
      <w:outlineLvl w:val="1"/>
    </w:pPr>
    <w:rPr>
      <w:rFonts w:eastAsiaTheme="majorEastAsia" w:cstheme="majorBidi"/>
      <w:color w:val="36BA99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56BE"/>
    <w:pPr>
      <w:keepNext/>
      <w:keepLines/>
      <w:spacing w:before="40" w:after="0"/>
      <w:outlineLvl w:val="2"/>
    </w:pPr>
    <w:rPr>
      <w:rFonts w:eastAsiaTheme="majorEastAsia" w:cstheme="majorBidi"/>
      <w:color w:val="459FD9" w:themeColor="accent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A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A62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523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A62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6CFD"/>
    <w:pPr>
      <w:spacing w:before="0" w:after="240" w:line="240" w:lineRule="auto"/>
      <w:contextualSpacing/>
      <w:jc w:val="center"/>
    </w:pPr>
    <w:rPr>
      <w:rFonts w:ascii="Roboto" w:eastAsiaTheme="majorEastAsia" w:hAnsi="Roboto" w:cstheme="majorBidi"/>
      <w:b/>
      <w:color w:val="459FD9" w:themeColor="accent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6CFD"/>
    <w:rPr>
      <w:rFonts w:ascii="Roboto" w:eastAsiaTheme="majorEastAsia" w:hAnsi="Roboto" w:cstheme="majorBidi"/>
      <w:b/>
      <w:color w:val="459FD9" w:themeColor="accent3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B4E0F"/>
    <w:rPr>
      <w:rFonts w:eastAsiaTheme="majorEastAsia" w:cstheme="majorBidi"/>
      <w:b/>
      <w:color w:val="261D9D" w:themeColor="accent5"/>
      <w:sz w:val="32"/>
      <w:szCs w:val="32"/>
    </w:rPr>
  </w:style>
  <w:style w:type="table" w:styleId="TableGrid">
    <w:name w:val="Table Grid"/>
    <w:basedOn w:val="TableNormal"/>
    <w:uiPriority w:val="39"/>
    <w:rsid w:val="006C0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6C0DEB"/>
    <w:pPr>
      <w:spacing w:after="0" w:line="240" w:lineRule="auto"/>
    </w:pPr>
    <w:tblPr>
      <w:tblStyleRowBandSize w:val="1"/>
      <w:tblStyleColBandSize w:val="1"/>
      <w:tblBorders>
        <w:top w:val="single" w:sz="4" w:space="0" w:color="635AE0" w:themeColor="accent5" w:themeTint="99"/>
        <w:left w:val="single" w:sz="4" w:space="0" w:color="635AE0" w:themeColor="accent5" w:themeTint="99"/>
        <w:bottom w:val="single" w:sz="4" w:space="0" w:color="635AE0" w:themeColor="accent5" w:themeTint="99"/>
        <w:right w:val="single" w:sz="4" w:space="0" w:color="635AE0" w:themeColor="accent5" w:themeTint="99"/>
        <w:insideH w:val="single" w:sz="4" w:space="0" w:color="635AE0" w:themeColor="accent5" w:themeTint="99"/>
        <w:insideV w:val="single" w:sz="4" w:space="0" w:color="635AE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1D9D" w:themeColor="accent5"/>
          <w:left w:val="single" w:sz="4" w:space="0" w:color="261D9D" w:themeColor="accent5"/>
          <w:bottom w:val="single" w:sz="4" w:space="0" w:color="261D9D" w:themeColor="accent5"/>
          <w:right w:val="single" w:sz="4" w:space="0" w:color="261D9D" w:themeColor="accent5"/>
          <w:insideH w:val="nil"/>
          <w:insideV w:val="nil"/>
        </w:tcBorders>
        <w:shd w:val="clear" w:color="auto" w:fill="261D9D" w:themeFill="accent5"/>
      </w:tcPr>
    </w:tblStylePr>
    <w:tblStylePr w:type="lastRow">
      <w:rPr>
        <w:b/>
        <w:bCs/>
      </w:rPr>
      <w:tblPr/>
      <w:tcPr>
        <w:tcBorders>
          <w:top w:val="double" w:sz="4" w:space="0" w:color="261D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8F5" w:themeFill="accent5" w:themeFillTint="33"/>
      </w:tcPr>
    </w:tblStylePr>
    <w:tblStylePr w:type="band1Horz">
      <w:tblPr/>
      <w:tcPr>
        <w:shd w:val="clear" w:color="auto" w:fill="CBC8F5" w:themeFill="accent5" w:themeFillTint="33"/>
      </w:tcPr>
    </w:tblStylePr>
  </w:style>
  <w:style w:type="paragraph" w:styleId="ListParagraph">
    <w:name w:val="List Paragraph"/>
    <w:basedOn w:val="Normal"/>
    <w:link w:val="ListParagraphChar"/>
    <w:uiPriority w:val="34"/>
    <w:qFormat/>
    <w:rsid w:val="00BA0DE3"/>
    <w:pPr>
      <w:spacing w:after="120" w:line="264" w:lineRule="auto"/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B4E0F"/>
    <w:rPr>
      <w:rFonts w:eastAsiaTheme="majorEastAsia" w:cstheme="majorBidi"/>
      <w:color w:val="36BA99" w:themeColor="accent2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12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417"/>
  </w:style>
  <w:style w:type="paragraph" w:styleId="Footer">
    <w:name w:val="footer"/>
    <w:basedOn w:val="Normal"/>
    <w:link w:val="FooterChar"/>
    <w:uiPriority w:val="99"/>
    <w:unhideWhenUsed/>
    <w:rsid w:val="00F12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417"/>
  </w:style>
  <w:style w:type="character" w:styleId="CommentReference">
    <w:name w:val="annotation reference"/>
    <w:basedOn w:val="DefaultParagraphFont"/>
    <w:uiPriority w:val="99"/>
    <w:semiHidden/>
    <w:unhideWhenUsed/>
    <w:rsid w:val="00F12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24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2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41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B4E0F"/>
    <w:pPr>
      <w:spacing w:before="60" w:after="60" w:line="240" w:lineRule="auto"/>
    </w:pPr>
    <w:rPr>
      <w:b/>
    </w:rPr>
  </w:style>
  <w:style w:type="paragraph" w:customStyle="1" w:styleId="BulletPoints">
    <w:name w:val="Bullet Points"/>
    <w:basedOn w:val="ListParagraph"/>
    <w:link w:val="BulletPointsChar"/>
    <w:qFormat/>
    <w:rsid w:val="00E724DD"/>
    <w:pPr>
      <w:numPr>
        <w:numId w:val="10"/>
      </w:numPr>
      <w:spacing w:line="288" w:lineRule="auto"/>
    </w:pPr>
    <w:rPr>
      <w:sz w:val="22"/>
    </w:rPr>
  </w:style>
  <w:style w:type="paragraph" w:customStyle="1" w:styleId="NumberedList">
    <w:name w:val="Numbered List"/>
    <w:basedOn w:val="ListParagraph"/>
    <w:link w:val="NumberedListChar"/>
    <w:qFormat/>
    <w:rsid w:val="00966CFD"/>
    <w:pPr>
      <w:numPr>
        <w:numId w:val="9"/>
      </w:numPr>
      <w:spacing w:after="80" w:line="288" w:lineRule="auto"/>
    </w:pPr>
    <w:rPr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724DD"/>
    <w:rPr>
      <w:sz w:val="20"/>
      <w:szCs w:val="20"/>
    </w:rPr>
  </w:style>
  <w:style w:type="character" w:customStyle="1" w:styleId="BulletPointsChar">
    <w:name w:val="Bullet Points Char"/>
    <w:basedOn w:val="ListParagraphChar"/>
    <w:link w:val="BulletPoints"/>
    <w:rsid w:val="00E724DD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356BE"/>
    <w:rPr>
      <w:rFonts w:eastAsiaTheme="majorEastAsia" w:cstheme="majorBidi"/>
      <w:color w:val="459FD9" w:themeColor="accent3"/>
      <w:sz w:val="24"/>
      <w:szCs w:val="24"/>
    </w:rPr>
  </w:style>
  <w:style w:type="character" w:customStyle="1" w:styleId="NumberedListChar">
    <w:name w:val="Numbered List Char"/>
    <w:basedOn w:val="ListParagraphChar"/>
    <w:link w:val="NumberedList"/>
    <w:rsid w:val="00966CFD"/>
    <w:rPr>
      <w:sz w:val="20"/>
      <w:szCs w:val="20"/>
    </w:rPr>
  </w:style>
  <w:style w:type="table" w:styleId="GridTable4-Accent6">
    <w:name w:val="Grid Table 4 Accent 6"/>
    <w:basedOn w:val="TableNormal"/>
    <w:uiPriority w:val="49"/>
    <w:rsid w:val="004356BE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accent6" w:themeTint="99"/>
        <w:left w:val="single" w:sz="4" w:space="0" w:color="40A7AC" w:themeColor="accent6" w:themeTint="99"/>
        <w:bottom w:val="single" w:sz="4" w:space="0" w:color="40A7AC" w:themeColor="accent6" w:themeTint="99"/>
        <w:right w:val="single" w:sz="4" w:space="0" w:color="40A7AC" w:themeColor="accent6" w:themeTint="99"/>
        <w:insideH w:val="single" w:sz="4" w:space="0" w:color="40A7AC" w:themeColor="accent6" w:themeTint="99"/>
        <w:insideV w:val="single" w:sz="4" w:space="0" w:color="40A7A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accent6"/>
          <w:left w:val="single" w:sz="4" w:space="0" w:color="0F2728" w:themeColor="accent6"/>
          <w:bottom w:val="single" w:sz="4" w:space="0" w:color="0F2728" w:themeColor="accent6"/>
          <w:right w:val="single" w:sz="4" w:space="0" w:color="0F2728" w:themeColor="accent6"/>
          <w:insideH w:val="nil"/>
          <w:insideV w:val="nil"/>
        </w:tcBorders>
        <w:shd w:val="clear" w:color="auto" w:fill="0F2728" w:themeFill="accent6"/>
      </w:tcPr>
    </w:tblStylePr>
    <w:tblStylePr w:type="lastRow">
      <w:rPr>
        <w:b/>
        <w:bCs/>
      </w:rPr>
      <w:tblPr/>
      <w:tcPr>
        <w:tcBorders>
          <w:top w:val="double" w:sz="4" w:space="0" w:color="0F272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accent6" w:themeFillTint="33"/>
      </w:tcPr>
    </w:tblStylePr>
    <w:tblStylePr w:type="band1Horz">
      <w:tblPr/>
      <w:tcPr>
        <w:shd w:val="clear" w:color="auto" w:fill="BCE4E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46A3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E4E6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2728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2728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2728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2728" w:themeFill="text1"/>
      </w:tcPr>
    </w:tblStylePr>
    <w:tblStylePr w:type="band1Vert">
      <w:tblPr/>
      <w:tcPr>
        <w:shd w:val="clear" w:color="auto" w:fill="7AC9CD" w:themeFill="text1" w:themeFillTint="66"/>
      </w:tcPr>
    </w:tblStylePr>
    <w:tblStylePr w:type="band1Horz">
      <w:tblPr/>
      <w:tcPr>
        <w:shd w:val="clear" w:color="auto" w:fill="7AC9CD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D60326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accent6" w:themeTint="99"/>
        <w:left w:val="single" w:sz="4" w:space="0" w:color="40A7AC" w:themeColor="accent6" w:themeTint="99"/>
        <w:bottom w:val="single" w:sz="4" w:space="0" w:color="40A7AC" w:themeColor="accent6" w:themeTint="99"/>
        <w:right w:val="single" w:sz="4" w:space="0" w:color="40A7AC" w:themeColor="accent6" w:themeTint="99"/>
        <w:insideH w:val="single" w:sz="4" w:space="0" w:color="40A7A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accent6"/>
          <w:left w:val="single" w:sz="4" w:space="0" w:color="0F2728" w:themeColor="accent6"/>
          <w:bottom w:val="single" w:sz="4" w:space="0" w:color="0F2728" w:themeColor="accent6"/>
          <w:right w:val="single" w:sz="4" w:space="0" w:color="0F2728" w:themeColor="accent6"/>
          <w:insideH w:val="nil"/>
        </w:tcBorders>
        <w:shd w:val="clear" w:color="auto" w:fill="0F2728" w:themeFill="accent6"/>
      </w:tcPr>
    </w:tblStylePr>
    <w:tblStylePr w:type="lastRow">
      <w:rPr>
        <w:b/>
        <w:bCs/>
      </w:rPr>
      <w:tblPr/>
      <w:tcPr>
        <w:tcBorders>
          <w:top w:val="double" w:sz="4" w:space="0" w:color="40A7A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accent6" w:themeFillTint="33"/>
      </w:tcPr>
    </w:tblStylePr>
    <w:tblStylePr w:type="band1Horz">
      <w:tblPr/>
      <w:tcPr>
        <w:shd w:val="clear" w:color="auto" w:fill="BCE4E6" w:themeFill="accent6" w:themeFillTint="33"/>
      </w:tcPr>
    </w:tblStylePr>
  </w:style>
  <w:style w:type="paragraph" w:customStyle="1" w:styleId="TableHeading">
    <w:name w:val="Table Heading"/>
    <w:basedOn w:val="BulletPoints"/>
    <w:link w:val="TableHeadingChar"/>
    <w:qFormat/>
    <w:rsid w:val="00825744"/>
    <w:pPr>
      <w:numPr>
        <w:numId w:val="0"/>
      </w:numPr>
      <w:spacing w:before="40" w:after="40"/>
      <w:jc w:val="center"/>
    </w:pPr>
    <w:rPr>
      <w:color w:val="F0C81C" w:themeColor="accent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D2AB6"/>
    <w:rPr>
      <w:rFonts w:asciiTheme="majorHAnsi" w:eastAsiaTheme="majorEastAsia" w:hAnsiTheme="majorHAnsi" w:cstheme="majorBidi"/>
      <w:i/>
      <w:iCs/>
      <w:color w:val="4A6296" w:themeColor="accent1" w:themeShade="BF"/>
    </w:rPr>
  </w:style>
  <w:style w:type="character" w:customStyle="1" w:styleId="TableHeadingChar">
    <w:name w:val="Table Heading Char"/>
    <w:basedOn w:val="BulletPointsChar"/>
    <w:link w:val="TableHeading"/>
    <w:rsid w:val="00825744"/>
    <w:rPr>
      <w:color w:val="F0C81C" w:themeColor="accent4"/>
      <w:sz w:val="24"/>
      <w:szCs w:val="24"/>
    </w:rPr>
  </w:style>
  <w:style w:type="table" w:styleId="GridTable4">
    <w:name w:val="Grid Table 4"/>
    <w:basedOn w:val="TableNormal"/>
    <w:uiPriority w:val="49"/>
    <w:rsid w:val="00B747FC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text1" w:themeTint="99"/>
        <w:left w:val="single" w:sz="4" w:space="0" w:color="40A7AC" w:themeColor="text1" w:themeTint="99"/>
        <w:bottom w:val="single" w:sz="4" w:space="0" w:color="40A7AC" w:themeColor="text1" w:themeTint="99"/>
        <w:right w:val="single" w:sz="4" w:space="0" w:color="40A7AC" w:themeColor="text1" w:themeTint="99"/>
        <w:insideH w:val="single" w:sz="4" w:space="0" w:color="40A7AC" w:themeColor="text1" w:themeTint="99"/>
        <w:insideV w:val="single" w:sz="4" w:space="0" w:color="40A7A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text1"/>
          <w:left w:val="single" w:sz="4" w:space="0" w:color="0F2728" w:themeColor="text1"/>
          <w:bottom w:val="single" w:sz="4" w:space="0" w:color="0F2728" w:themeColor="text1"/>
          <w:right w:val="single" w:sz="4" w:space="0" w:color="0F2728" w:themeColor="text1"/>
          <w:insideH w:val="nil"/>
          <w:insideV w:val="nil"/>
        </w:tcBorders>
        <w:shd w:val="clear" w:color="auto" w:fill="0F2728" w:themeFill="text1"/>
      </w:tcPr>
    </w:tblStylePr>
    <w:tblStylePr w:type="lastRow">
      <w:rPr>
        <w:b/>
        <w:bCs/>
      </w:rPr>
      <w:tblPr/>
      <w:tcPr>
        <w:tcBorders>
          <w:top w:val="double" w:sz="4" w:space="0" w:color="0F272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text1" w:themeFillTint="33"/>
      </w:tcPr>
    </w:tblStylePr>
    <w:tblStylePr w:type="band1Horz">
      <w:tblPr/>
      <w:tcPr>
        <w:shd w:val="clear" w:color="auto" w:fill="BCE4E6" w:themeFill="text1" w:themeFillTint="33"/>
      </w:tcPr>
    </w:tblStylePr>
  </w:style>
  <w:style w:type="paragraph" w:customStyle="1" w:styleId="SOWBullets">
    <w:name w:val="SOW Bullets"/>
    <w:basedOn w:val="NumberedList"/>
    <w:link w:val="SOWBulletsChar"/>
    <w:qFormat/>
    <w:rsid w:val="00D523FD"/>
    <w:pPr>
      <w:numPr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523FD"/>
    <w:rPr>
      <w:rFonts w:asciiTheme="majorHAnsi" w:eastAsiaTheme="majorEastAsia" w:hAnsiTheme="majorHAnsi" w:cstheme="majorBidi"/>
      <w:color w:val="4A6296" w:themeColor="accent1" w:themeShade="BF"/>
    </w:rPr>
  </w:style>
  <w:style w:type="character" w:customStyle="1" w:styleId="SOWBulletsChar">
    <w:name w:val="SOW Bullets Char"/>
    <w:basedOn w:val="NumberedListChar"/>
    <w:link w:val="SOWBullets"/>
    <w:rsid w:val="00D523FD"/>
    <w:rPr>
      <w:sz w:val="20"/>
      <w:szCs w:val="20"/>
    </w:rPr>
  </w:style>
  <w:style w:type="paragraph" w:customStyle="1" w:styleId="TableStandardText">
    <w:name w:val="Table Standard Text"/>
    <w:basedOn w:val="Normal"/>
    <w:link w:val="TableStandardTextChar"/>
    <w:qFormat/>
    <w:rsid w:val="00D523FD"/>
    <w:rPr>
      <w:sz w:val="18"/>
    </w:rPr>
  </w:style>
  <w:style w:type="character" w:customStyle="1" w:styleId="TableStandardTextChar">
    <w:name w:val="Table Standard Text Char"/>
    <w:basedOn w:val="DefaultParagraphFont"/>
    <w:link w:val="TableStandardText"/>
    <w:rsid w:val="00D523FD"/>
    <w:rPr>
      <w:sz w:val="18"/>
    </w:rPr>
  </w:style>
  <w:style w:type="paragraph" w:styleId="ListBullet">
    <w:name w:val="List Bullet"/>
    <w:basedOn w:val="Normal"/>
    <w:uiPriority w:val="99"/>
    <w:unhideWhenUsed/>
    <w:rsid w:val="00675D4C"/>
    <w:pPr>
      <w:numPr>
        <w:numId w:val="25"/>
      </w:numPr>
      <w:contextualSpacing/>
    </w:pPr>
  </w:style>
  <w:style w:type="paragraph" w:styleId="Revision">
    <w:name w:val="Revision"/>
    <w:hidden/>
    <w:uiPriority w:val="99"/>
    <w:semiHidden/>
    <w:rsid w:val="005C53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0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HFD">
      <a:dk1>
        <a:srgbClr val="0F2728"/>
      </a:dk1>
      <a:lt1>
        <a:srgbClr val="FFFFFF"/>
      </a:lt1>
      <a:dk2>
        <a:srgbClr val="0F2728"/>
      </a:dk2>
      <a:lt2>
        <a:srgbClr val="FFFFFF"/>
      </a:lt2>
      <a:accent1>
        <a:srgbClr val="7389BA"/>
      </a:accent1>
      <a:accent2>
        <a:srgbClr val="36BA99"/>
      </a:accent2>
      <a:accent3>
        <a:srgbClr val="459FD9"/>
      </a:accent3>
      <a:accent4>
        <a:srgbClr val="F0C81C"/>
      </a:accent4>
      <a:accent5>
        <a:srgbClr val="261D9D"/>
      </a:accent5>
      <a:accent6>
        <a:srgbClr val="0F2728"/>
      </a:accent6>
      <a:hlink>
        <a:srgbClr val="261D9D"/>
      </a:hlink>
      <a:folHlink>
        <a:srgbClr val="F0C81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B728D33A468468512798C331C470D" ma:contentTypeVersion="4" ma:contentTypeDescription="Create a new document." ma:contentTypeScope="" ma:versionID="1cfa0980f5cad85e2adbd157446977b2">
  <xsd:schema xmlns:xsd="http://www.w3.org/2001/XMLSchema" xmlns:xs="http://www.w3.org/2001/XMLSchema" xmlns:p="http://schemas.microsoft.com/office/2006/metadata/properties" xmlns:ns2="e38bc4c9-842f-4837-b1a2-82f9fe50f4ca" targetNamespace="http://schemas.microsoft.com/office/2006/metadata/properties" ma:root="true" ma:fieldsID="2a4921945e1ae1404cb01cf88664f979" ns2:_="">
    <xsd:import namespace="e38bc4c9-842f-4837-b1a2-82f9fe50f4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c4c9-842f-4837-b1a2-82f9fe50f4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46AB00-61C0-4953-A4F2-71B21CA4EA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396DE8-F6BE-4F2A-9E31-C69D6E13F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8bc4c9-842f-4837-b1a2-82f9fe50f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FF07A-4112-4D37-8FCB-B1AF8A3193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Sickles</dc:creator>
  <cp:keywords/>
  <dc:description/>
  <cp:lastModifiedBy>Mark Schutte</cp:lastModifiedBy>
  <cp:revision>17</cp:revision>
  <cp:lastPrinted>2021-02-11T22:17:00Z</cp:lastPrinted>
  <dcterms:created xsi:type="dcterms:W3CDTF">2021-07-01T15:51:00Z</dcterms:created>
  <dcterms:modified xsi:type="dcterms:W3CDTF">2021-10-06T04:33:00Z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0x0101009B5B728D33A468468512798C331C470D</vt:lpwstr>
  </property>
</Properties>
</file>